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6624F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default" w:ascii="仿宋_GB2312" w:hAnsi="仿宋_GB2312" w:eastAsia="仿宋_GB2312" w:cs="仿宋_GB2312"/>
          <w:i w:val="0"/>
          <w:iCs w:val="0"/>
          <w:caps w:val="0"/>
          <w:color w:val="000000"/>
          <w:spacing w:val="0"/>
          <w:sz w:val="32"/>
          <w:szCs w:val="32"/>
          <w:shd w:val="clear" w:color="auto" w:fill="FFFFFF"/>
          <w:lang w:val="en-US" w:eastAsia="zh-CN"/>
        </w:rPr>
      </w:pPr>
      <w:r>
        <w:rPr>
          <w:rFonts w:hint="eastAsia" w:ascii="仿宋_GB2312" w:hAnsi="仿宋_GB2312" w:eastAsia="仿宋_GB2312" w:cs="仿宋_GB2312"/>
          <w:i w:val="0"/>
          <w:iCs w:val="0"/>
          <w:caps w:val="0"/>
          <w:color w:val="000000"/>
          <w:spacing w:val="0"/>
          <w:sz w:val="32"/>
          <w:szCs w:val="32"/>
          <w:shd w:val="clear" w:color="auto" w:fill="FFFFFF"/>
          <w:lang w:val="en-US" w:eastAsia="zh-CN"/>
        </w:rPr>
        <w:t>附件2</w:t>
      </w:r>
    </w:p>
    <w:p w14:paraId="766BC5AD">
      <w:pPr>
        <w:jc w:val="center"/>
        <w:rPr>
          <w:rFonts w:hint="eastAsia" w:ascii="黑体" w:eastAsia="黑体"/>
          <w:sz w:val="48"/>
          <w:szCs w:val="48"/>
        </w:rPr>
      </w:pPr>
      <w:r>
        <w:rPr>
          <w:rFonts w:hint="eastAsia" w:ascii="黑体" w:eastAsia="黑体"/>
          <w:sz w:val="48"/>
          <w:szCs w:val="48"/>
          <w:lang w:eastAsia="zh-CN"/>
        </w:rPr>
        <w:t>华侨、侨眷属走访慰问经费</w:t>
      </w:r>
    </w:p>
    <w:p w14:paraId="0A9FFD3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方正小标宋简体" w:hAnsi="方正小标宋简体" w:eastAsia="方正小标宋简体" w:cs="方正小标宋简体"/>
          <w:i w:val="0"/>
          <w:iCs w:val="0"/>
          <w:caps w:val="0"/>
          <w:color w:val="000000"/>
          <w:spacing w:val="0"/>
          <w:sz w:val="44"/>
          <w:szCs w:val="44"/>
        </w:rPr>
      </w:pPr>
      <w:r>
        <w:rPr>
          <w:rFonts w:hint="eastAsia" w:ascii="方正小标宋简体" w:hAnsi="方正小标宋简体" w:eastAsia="方正小标宋简体" w:cs="方正小标宋简体"/>
          <w:i w:val="0"/>
          <w:iCs w:val="0"/>
          <w:caps w:val="0"/>
          <w:color w:val="000000"/>
          <w:spacing w:val="0"/>
          <w:sz w:val="44"/>
          <w:szCs w:val="44"/>
          <w:shd w:val="clear" w:color="auto" w:fill="FFFFFF"/>
        </w:rPr>
        <w:t>项目支出绩效自评报告</w:t>
      </w:r>
    </w:p>
    <w:p w14:paraId="1AFBAB4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640" w:firstLineChars="200"/>
        <w:jc w:val="both"/>
        <w:textAlignment w:val="auto"/>
        <w:rPr>
          <w:rFonts w:hint="eastAsia" w:ascii="黑体" w:hAnsi="黑体" w:eastAsia="黑体" w:cs="黑体"/>
          <w:i w:val="0"/>
          <w:iCs w:val="0"/>
          <w:caps w:val="0"/>
          <w:color w:val="000000"/>
          <w:spacing w:val="0"/>
          <w:sz w:val="32"/>
          <w:szCs w:val="32"/>
        </w:rPr>
      </w:pPr>
      <w:r>
        <w:rPr>
          <w:rFonts w:hint="eastAsia" w:ascii="方正小标宋_GBK" w:hAnsi="方正小标宋_GBK" w:eastAsia="方正小标宋_GBK" w:cs="方正小标宋_GBK"/>
          <w:i w:val="0"/>
          <w:iCs w:val="0"/>
          <w:caps w:val="0"/>
          <w:color w:val="000000"/>
          <w:spacing w:val="0"/>
          <w:sz w:val="32"/>
          <w:szCs w:val="32"/>
          <w:shd w:val="clear" w:color="auto" w:fill="FFFFFF"/>
        </w:rPr>
        <w:t> </w:t>
      </w:r>
      <w:r>
        <w:rPr>
          <w:rFonts w:hint="eastAsia" w:ascii="黑体" w:hAnsi="黑体" w:eastAsia="黑体" w:cs="黑体"/>
          <w:i w:val="0"/>
          <w:iCs w:val="0"/>
          <w:caps w:val="0"/>
          <w:color w:val="000000"/>
          <w:spacing w:val="0"/>
          <w:sz w:val="32"/>
          <w:szCs w:val="32"/>
          <w:shd w:val="clear" w:color="auto" w:fill="FFFFFF"/>
        </w:rPr>
        <w:t>一、项目基本情况</w:t>
      </w:r>
    </w:p>
    <w:p w14:paraId="36FC7A6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0"/>
          <w:sz w:val="32"/>
          <w:szCs w:val="32"/>
          <w:shd w:val="clear" w:color="auto" w:fill="FFFFFF"/>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sz w:val="32"/>
          <w:szCs w:val="32"/>
          <w:shd w:val="clear" w:color="auto" w:fill="FFFFFF"/>
        </w:rPr>
        <w:t>项目概况</w:t>
      </w:r>
    </w:p>
    <w:p w14:paraId="27111B4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1.项目决策背景</w:t>
      </w:r>
    </w:p>
    <w:p w14:paraId="6DF70DF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希望广大归侨侨眷、港澳台同胞及其眷属把祖国和内地民众血浓于水的亲情传递给港澳台和海外的亲人，多做团结和谐的工作，用丰富的事例、鲜明的视角、生动的语言，讲好中国故事，传播中国好声音，为实现中华民族伟大复兴的中国梦不懈奋斗。</w:t>
      </w:r>
    </w:p>
    <w:p w14:paraId="1168D2A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2、项目主要内容</w:t>
      </w:r>
    </w:p>
    <w:p w14:paraId="3128B484">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rightChars="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0" w:name="OLE_LINK7"/>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认真做好全县“三胞”及其眷属、海外留学人员的工作，深化为侨服务凝聚人心。</w:t>
      </w:r>
    </w:p>
    <w:bookmarkEnd w:id="0"/>
    <w:p w14:paraId="5EA41932">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firstLine="320" w:firstLineChars="1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3、项目组织管理机构</w:t>
      </w:r>
    </w:p>
    <w:p w14:paraId="3AD99774">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 xml:space="preserve">  中国共产党会同县委员会统战部本级。</w:t>
      </w:r>
    </w:p>
    <w:p w14:paraId="7CA7DB5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0"/>
          <w:sz w:val="32"/>
          <w:szCs w:val="32"/>
          <w:shd w:val="clear" w:color="auto" w:fill="FFFFFF"/>
        </w:rPr>
      </w:pPr>
      <w:r>
        <w:rPr>
          <w:rFonts w:hint="eastAsia" w:ascii="楷体_GB2312" w:hAnsi="楷体_GB2312" w:eastAsia="楷体_GB2312" w:cs="楷体_GB2312"/>
          <w:b w:val="0"/>
          <w:bCs w:val="0"/>
          <w:i w:val="0"/>
          <w:iCs w:val="0"/>
          <w:caps w:val="0"/>
          <w:color w:val="000000"/>
          <w:spacing w:val="-23"/>
          <w:sz w:val="32"/>
          <w:szCs w:val="32"/>
          <w:shd w:val="clear" w:color="auto" w:fill="FFFFFF"/>
        </w:rPr>
        <w:t>（二）</w:t>
      </w:r>
      <w:r>
        <w:rPr>
          <w:rFonts w:hint="eastAsia" w:ascii="楷体_GB2312" w:hAnsi="楷体_GB2312" w:eastAsia="楷体_GB2312" w:cs="楷体_GB2312"/>
          <w:b w:val="0"/>
          <w:bCs w:val="0"/>
          <w:i w:val="0"/>
          <w:iCs w:val="0"/>
          <w:caps w:val="0"/>
          <w:color w:val="000000"/>
          <w:spacing w:val="0"/>
          <w:sz w:val="32"/>
          <w:szCs w:val="32"/>
          <w:shd w:val="clear" w:color="auto" w:fill="FFFFFF"/>
        </w:rPr>
        <w:t>预算资金使用管理情况</w:t>
      </w:r>
    </w:p>
    <w:p w14:paraId="5FFC4406">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 w:name="_Toc10810"/>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1.预算资金安排及管理情况</w:t>
      </w:r>
      <w:bookmarkEnd w:id="1"/>
    </w:p>
    <w:p w14:paraId="6DE8555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23"/>
          <w:kern w:val="0"/>
          <w:sz w:val="32"/>
          <w:szCs w:val="32"/>
          <w:shd w:val="clear" w:color="auto" w:fill="FFFFFF"/>
          <w:lang w:val="en-US" w:eastAsia="zh-CN" w:bidi="ar"/>
        </w:rPr>
        <w:t>（1）</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资金来源及拨付流程</w:t>
      </w:r>
    </w:p>
    <w:p w14:paraId="27F930D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该项目资金纳入当年部门预算，为财政一般公共预算拨款，由财政</w:t>
      </w: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行政执法股</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拨付。</w:t>
      </w:r>
    </w:p>
    <w:p w14:paraId="72A8CCE7">
      <w:pPr>
        <w:pStyle w:val="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资金到位情况</w:t>
      </w:r>
    </w:p>
    <w:p w14:paraId="0343F2C1">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rightChars="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资金一次性拨付到</w:t>
      </w:r>
      <w:bookmarkStart w:id="2" w:name="OLE_LINK1"/>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统战部</w:t>
      </w:r>
      <w:bookmarkEnd w:id="2"/>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 xml:space="preserve">，资金到位率100%，统战部按各项工作完成的进度支付。 </w:t>
      </w:r>
    </w:p>
    <w:p w14:paraId="4B428532">
      <w:pPr>
        <w:pStyle w:val="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leftChars="0"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资金使用情况</w:t>
      </w:r>
    </w:p>
    <w:p w14:paraId="16D81AAE">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rightChars="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 xml:space="preserve"> 2023年财政拨付华侨、侨眷属走访慰问经费1.3万元，实际完成1.3万元，资金到位及时率100%，主要用于华侨、眷属走访慰问传统佳节走访慰问。</w:t>
      </w:r>
    </w:p>
    <w:p w14:paraId="2FC29A2B">
      <w:pPr>
        <w:pStyle w:val="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leftChars="0"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资金管理制度及执行情况</w:t>
      </w:r>
    </w:p>
    <w:p w14:paraId="6D09FEB2">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rightChars="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我单位认真履行部门“三定”方案确定的职责。在资金的使用管理过程中，建立健全了资金使用管理制度和财务管理制度，并得到有效执行，资金拨付及时到位，使用规范，基础数据信息和会计信息资料真实、完整、准确，无截留、挤占、挪用、虚列支出等情况，各项支出严格遵守财务管理制度，实行专款专用，核算明晰，并按规定内容在政府门户网站公开预、决算信息。对有关财务方面文件及时掌握，全年无政府债务发生，严格资产管理配置标准，严格按照资产处理程序办理资产处置业务，全面加强单位内控制度建设。依法接受人大、纪检、审计及财政监督，严格遵守各项财经纪律。</w:t>
      </w:r>
    </w:p>
    <w:p w14:paraId="10D1C1CC">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项目组织实施管理情况</w:t>
      </w:r>
    </w:p>
    <w:p w14:paraId="29E4BB36">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 xml:space="preserve">    项目管理规范，实施程序到位。由县委统战部提出预算，县财政局进行审核，县财政局审核拨款。</w:t>
      </w:r>
    </w:p>
    <w:p w14:paraId="60E793F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51" w:firstLineChars="200"/>
        <w:jc w:val="both"/>
        <w:textAlignment w:val="auto"/>
        <w:rPr>
          <w:rFonts w:hint="eastAsia" w:ascii="楷体_GB2312" w:hAnsi="楷体_GB2312" w:eastAsia="楷体_GB2312" w:cs="楷体_GB2312"/>
          <w:b/>
          <w:bCs/>
          <w:i w:val="0"/>
          <w:iCs w:val="0"/>
          <w:caps w:val="0"/>
          <w:color w:val="000000"/>
          <w:spacing w:val="0"/>
          <w:sz w:val="32"/>
          <w:szCs w:val="32"/>
          <w:shd w:val="clear" w:color="auto" w:fill="FFFFFF"/>
        </w:rPr>
      </w:pPr>
      <w:r>
        <w:rPr>
          <w:rFonts w:hint="eastAsia" w:ascii="楷体_GB2312" w:hAnsi="楷体_GB2312" w:eastAsia="楷体_GB2312" w:cs="楷体_GB2312"/>
          <w:b/>
          <w:bCs/>
          <w:i w:val="0"/>
          <w:iCs w:val="0"/>
          <w:caps w:val="0"/>
          <w:color w:val="000000"/>
          <w:spacing w:val="-23"/>
          <w:sz w:val="32"/>
          <w:szCs w:val="32"/>
          <w:shd w:val="clear" w:color="auto" w:fill="FFFFFF"/>
        </w:rPr>
        <w:t>（三）</w:t>
      </w:r>
      <w:r>
        <w:rPr>
          <w:rFonts w:hint="eastAsia" w:ascii="楷体_GB2312" w:hAnsi="楷体_GB2312" w:eastAsia="楷体_GB2312" w:cs="楷体_GB2312"/>
          <w:b/>
          <w:bCs/>
          <w:i w:val="0"/>
          <w:iCs w:val="0"/>
          <w:caps w:val="0"/>
          <w:color w:val="000000"/>
          <w:spacing w:val="0"/>
          <w:sz w:val="32"/>
          <w:szCs w:val="32"/>
          <w:shd w:val="clear" w:color="auto" w:fill="FFFFFF"/>
        </w:rPr>
        <w:t>预算绩效目标情况</w:t>
      </w:r>
    </w:p>
    <w:p w14:paraId="72BACD9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1.绩效目标</w:t>
      </w:r>
    </w:p>
    <w:p w14:paraId="578B9E6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认真做好全县“三胞”及其眷属、海外留学人员的工作，深化为侨服务凝聚人心。</w:t>
      </w:r>
    </w:p>
    <w:p w14:paraId="27FD635B">
      <w:pPr>
        <w:pStyle w:val="4"/>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绩效指标</w:t>
      </w:r>
    </w:p>
    <w:p w14:paraId="67393694">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（1）数量指标：工作经费发放率100%；</w:t>
      </w:r>
    </w:p>
    <w:p w14:paraId="5EAD5626">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（2）质量指标：项目绩效目标达成率100%；</w:t>
      </w:r>
    </w:p>
    <w:p w14:paraId="063CC83C">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（3）时效指标：在2023年12月前完成；</w:t>
      </w:r>
    </w:p>
    <w:p w14:paraId="3C529854">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（4）成本指标：控制在财政核准预算数；</w:t>
      </w:r>
    </w:p>
    <w:p w14:paraId="7D0244D3">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（5）经济效益指标：保障资金使用效率；</w:t>
      </w:r>
    </w:p>
    <w:p w14:paraId="66DA868C">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（6）社会效益指标：促进工作开展；</w:t>
      </w:r>
    </w:p>
    <w:p w14:paraId="0F021CAA">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（7）可持续指标：促进社会的和谐稳定；</w:t>
      </w:r>
    </w:p>
    <w:p w14:paraId="58EB2337">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（8）群众满意度：服务对象满意度达到90%以上。</w:t>
      </w:r>
    </w:p>
    <w:p w14:paraId="6E6EB678">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leftChars="0"/>
        <w:textAlignment w:val="auto"/>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二、绩效评价工作情况</w:t>
      </w:r>
    </w:p>
    <w:p w14:paraId="4961DDBE">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绩效评价目的</w:t>
      </w:r>
    </w:p>
    <w:p w14:paraId="0D5AAA8E">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验证目标指标，总结经验，为改善资金管理、纠正目标与实际的偏差提供依据。</w:t>
      </w:r>
    </w:p>
    <w:p w14:paraId="05941C4A">
      <w:pPr>
        <w:keepNext w:val="0"/>
        <w:keepLines w:val="0"/>
        <w:pageBreakBefore w:val="0"/>
        <w:widowControl w:val="0"/>
        <w:numPr>
          <w:ilvl w:val="0"/>
          <w:numId w:val="3"/>
        </w:numPr>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3" w:name="_Toc11844"/>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被评价单位、绩效评价范围与时段</w:t>
      </w:r>
      <w:bookmarkEnd w:id="3"/>
    </w:p>
    <w:p w14:paraId="2D9D2E0E">
      <w:pPr>
        <w:keepNext w:val="0"/>
        <w:keepLines w:val="0"/>
        <w:pageBreakBefore w:val="0"/>
        <w:widowControl w:val="0"/>
        <w:kinsoku/>
        <w:wordWrap/>
        <w:overflowPunct/>
        <w:topLinePunct w:val="0"/>
        <w:autoSpaceDE/>
        <w:autoSpaceDN/>
        <w:bidi w:val="0"/>
        <w:adjustRightInd/>
        <w:snapToGrid w:val="0"/>
        <w:spacing w:line="520" w:lineRule="exact"/>
        <w:ind w:firstLine="320" w:firstLineChars="100"/>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 xml:space="preserve"> 被评价单位：中国共产党会同县委员会统战部，绩效评</w:t>
      </w:r>
      <w:r>
        <w:rPr>
          <w:rFonts w:hint="eastAsia" w:ascii="仿宋_GB2312" w:hAnsi="Calibri" w:eastAsia="仿宋_GB2312" w:cs="仿宋_GB2312"/>
          <w:i w:val="0"/>
          <w:iCs w:val="0"/>
          <w:caps w:val="0"/>
          <w:color w:val="000000"/>
          <w:spacing w:val="-20"/>
          <w:kern w:val="0"/>
          <w:sz w:val="32"/>
          <w:szCs w:val="32"/>
          <w:shd w:val="clear" w:color="auto" w:fill="FFFFFF"/>
          <w:lang w:val="en-US" w:eastAsia="zh-CN" w:bidi="ar"/>
        </w:rPr>
        <w:t>价范围与时段为2023年1-12月华侨、侨眷属走访慰问经费。</w:t>
      </w:r>
    </w:p>
    <w:p w14:paraId="36288DFE">
      <w:pPr>
        <w:keepNext w:val="0"/>
        <w:keepLines w:val="0"/>
        <w:pageBreakBefore w:val="0"/>
        <w:widowControl w:val="0"/>
        <w:numPr>
          <w:ilvl w:val="0"/>
          <w:numId w:val="3"/>
        </w:numPr>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4" w:name="_Toc31835"/>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绩效评价原则、评价指标体系、评价方法</w:t>
      </w:r>
      <w:bookmarkEnd w:id="4"/>
    </w:p>
    <w:p w14:paraId="06610FB5">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仿宋_GB2312" w:hAnsi="Calibri" w:eastAsia="仿宋_GB2312" w:cs="仿宋_GB2312"/>
          <w:i w:val="0"/>
          <w:iCs w:val="0"/>
          <w:caps w:val="0"/>
          <w:color w:val="000000"/>
          <w:spacing w:val="-2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20"/>
          <w:kern w:val="0"/>
          <w:sz w:val="32"/>
          <w:szCs w:val="32"/>
          <w:shd w:val="clear" w:color="auto" w:fill="FFFFFF"/>
          <w:lang w:val="en-US" w:eastAsia="zh-CN" w:bidi="ar"/>
        </w:rPr>
        <w:t xml:space="preserve"> 1、相关性原则、重要性原则、系统性原则、经济性原则。</w:t>
      </w:r>
    </w:p>
    <w:p w14:paraId="06544231">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2、评价指标分为产出指标、效益指标及满意度指标。</w:t>
      </w:r>
    </w:p>
    <w:p w14:paraId="5E907B3D">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3、评价方法主要采用成本效益分析法、比较法、因素分析法、最低成本法、公众评判法等。</w:t>
      </w:r>
    </w:p>
    <w:p w14:paraId="76E3B2D3">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bookmarkStart w:id="5" w:name="_Toc32076"/>
      <w:bookmarkStart w:id="6" w:name="_Toc7615"/>
      <w:r>
        <w:rPr>
          <w:rFonts w:hint="eastAsia" w:ascii="黑体" w:hAnsi="黑体" w:eastAsia="黑体" w:cs="黑体"/>
          <w:i w:val="0"/>
          <w:iCs w:val="0"/>
          <w:caps w:val="0"/>
          <w:color w:val="000000"/>
          <w:spacing w:val="0"/>
          <w:kern w:val="0"/>
          <w:sz w:val="32"/>
          <w:szCs w:val="32"/>
          <w:shd w:val="clear" w:color="auto" w:fill="FFFFFF"/>
          <w:lang w:val="en-US" w:eastAsia="zh-CN" w:bidi="ar"/>
        </w:rPr>
        <w:t>三、主要绩效及评价结论</w:t>
      </w:r>
      <w:bookmarkEnd w:id="5"/>
      <w:bookmarkEnd w:id="6"/>
    </w:p>
    <w:p w14:paraId="0430DF81">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7" w:name="OLE_LINK3"/>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社会效益</w:t>
      </w:r>
    </w:p>
    <w:p w14:paraId="2DCCF05E">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有效的促进了工作开展。</w:t>
      </w:r>
    </w:p>
    <w:p w14:paraId="23023872">
      <w:pPr>
        <w:keepNext w:val="0"/>
        <w:keepLines w:val="0"/>
        <w:pageBreakBefore w:val="0"/>
        <w:widowControl w:val="0"/>
        <w:numPr>
          <w:ilvl w:val="0"/>
          <w:numId w:val="4"/>
        </w:numPr>
        <w:kinsoku/>
        <w:wordWrap/>
        <w:overflowPunct/>
        <w:topLinePunct w:val="0"/>
        <w:autoSpaceDE/>
        <w:autoSpaceDN/>
        <w:bidi w:val="0"/>
        <w:adjustRightInd/>
        <w:snapToGrid w:val="0"/>
        <w:spacing w:line="520" w:lineRule="exact"/>
        <w:ind w:left="-548" w:leftChars="0" w:firstLine="548" w:firstLineChars="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经济效益</w:t>
      </w:r>
    </w:p>
    <w:p w14:paraId="054E9841">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 xml:space="preserve"> 有效的保障资金使用效率。</w:t>
      </w:r>
    </w:p>
    <w:p w14:paraId="4B07496F">
      <w:pPr>
        <w:keepNext w:val="0"/>
        <w:keepLines w:val="0"/>
        <w:pageBreakBefore w:val="0"/>
        <w:widowControl w:val="0"/>
        <w:numPr>
          <w:ilvl w:val="0"/>
          <w:numId w:val="4"/>
        </w:numPr>
        <w:kinsoku/>
        <w:wordWrap/>
        <w:overflowPunct/>
        <w:topLinePunct w:val="0"/>
        <w:autoSpaceDE/>
        <w:autoSpaceDN/>
        <w:bidi w:val="0"/>
        <w:adjustRightInd/>
        <w:snapToGrid w:val="0"/>
        <w:spacing w:line="520" w:lineRule="exact"/>
        <w:ind w:left="-548" w:leftChars="0" w:firstLine="548" w:firstLineChars="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可持续影响</w:t>
      </w:r>
    </w:p>
    <w:p w14:paraId="115E6016">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促进社会的和谐稳定。</w:t>
      </w:r>
    </w:p>
    <w:p w14:paraId="0BDD8A31">
      <w:pPr>
        <w:keepNext w:val="0"/>
        <w:keepLines w:val="0"/>
        <w:pageBreakBefore w:val="0"/>
        <w:widowControl w:val="0"/>
        <w:numPr>
          <w:ilvl w:val="0"/>
          <w:numId w:val="4"/>
        </w:numPr>
        <w:kinsoku/>
        <w:wordWrap/>
        <w:overflowPunct/>
        <w:topLinePunct w:val="0"/>
        <w:autoSpaceDE/>
        <w:autoSpaceDN/>
        <w:bidi w:val="0"/>
        <w:adjustRightInd/>
        <w:snapToGrid w:val="0"/>
        <w:spacing w:line="520" w:lineRule="exact"/>
        <w:ind w:left="-548" w:leftChars="0" w:firstLine="548" w:firstLineChars="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满意度情况</w:t>
      </w:r>
    </w:p>
    <w:p w14:paraId="58DE637D">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Times New Roman" w:eastAsia="仿宋_GB2312" w:cs="Times New Roman"/>
          <w:sz w:val="32"/>
          <w:szCs w:val="32"/>
          <w:lang w:val="en-US" w:eastAsia="zh-CN"/>
        </w:rPr>
        <w:t>服务对象满意度达到9</w:t>
      </w:r>
      <w:r>
        <w:rPr>
          <w:rFonts w:hint="eastAsia" w:ascii="仿宋_GB2312" w:eastAsia="仿宋_GB2312" w:cs="Times New Roman"/>
          <w:sz w:val="32"/>
          <w:szCs w:val="32"/>
          <w:lang w:val="en-US" w:eastAsia="zh-CN"/>
        </w:rPr>
        <w:t>5</w:t>
      </w:r>
      <w:r>
        <w:rPr>
          <w:rFonts w:hint="eastAsia" w:ascii="仿宋_GB2312" w:hAnsi="Times New Roman" w:eastAsia="仿宋_GB2312" w:cs="Times New Roman"/>
          <w:sz w:val="32"/>
          <w:szCs w:val="32"/>
          <w:lang w:val="en-US" w:eastAsia="zh-CN"/>
        </w:rPr>
        <w:t>%。</w:t>
      </w: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 xml:space="preserve"> </w:t>
      </w:r>
    </w:p>
    <w:bookmarkEnd w:id="7"/>
    <w:p w14:paraId="12500666">
      <w:pPr>
        <w:keepNext w:val="0"/>
        <w:keepLines w:val="0"/>
        <w:pageBreakBefore w:val="0"/>
        <w:widowControl w:val="0"/>
        <w:numPr>
          <w:ilvl w:val="0"/>
          <w:numId w:val="4"/>
        </w:numPr>
        <w:kinsoku/>
        <w:wordWrap/>
        <w:overflowPunct/>
        <w:topLinePunct w:val="0"/>
        <w:autoSpaceDE/>
        <w:autoSpaceDN/>
        <w:bidi w:val="0"/>
        <w:adjustRightInd/>
        <w:snapToGrid w:val="0"/>
        <w:spacing w:line="520" w:lineRule="exact"/>
        <w:ind w:left="-548" w:leftChars="0" w:firstLine="548" w:firstLineChars="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评价结论</w:t>
      </w:r>
    </w:p>
    <w:p w14:paraId="7279EC60">
      <w:pPr>
        <w:pStyle w:val="2"/>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仿宋_GB2312" w:hAnsi="Times New Roman" w:eastAsia="仿宋_GB2312" w:cs="Times New Roman"/>
          <w:sz w:val="32"/>
          <w:szCs w:val="32"/>
          <w:lang w:val="en-US" w:eastAsia="zh-CN"/>
        </w:rPr>
      </w:pPr>
      <w:r>
        <w:rPr>
          <w:rFonts w:hint="eastAsia"/>
          <w:lang w:val="en-US" w:eastAsia="zh-CN"/>
        </w:rPr>
        <w:t xml:space="preserve">      </w:t>
      </w:r>
      <w:r>
        <w:rPr>
          <w:rFonts w:hint="eastAsia" w:ascii="仿宋_GB2312" w:hAnsi="Times New Roman" w:eastAsia="仿宋_GB2312" w:cs="Times New Roman"/>
          <w:sz w:val="32"/>
          <w:szCs w:val="32"/>
          <w:lang w:val="en-US" w:eastAsia="zh-CN"/>
        </w:rPr>
        <w:t>2023年该项目立项符合国家法律法规；项目资金管理制度健全，资金监管措施落实到位；各项工作具体扎实，项目任务全面完成，项目实施效果显著。本次自评各项目得分98分，自评等级为“优”。</w:t>
      </w:r>
      <w:bookmarkStart w:id="8" w:name="_Toc27541"/>
      <w:bookmarkStart w:id="9" w:name="_Toc16332"/>
    </w:p>
    <w:p w14:paraId="1080A2F6">
      <w:pPr>
        <w:pStyle w:val="2"/>
        <w:keepNext w:val="0"/>
        <w:keepLines w:val="0"/>
        <w:pageBreakBefore w:val="0"/>
        <w:widowControl w:val="0"/>
        <w:numPr>
          <w:ilvl w:val="0"/>
          <w:numId w:val="0"/>
        </w:numPr>
        <w:kinsoku/>
        <w:wordWrap/>
        <w:overflowPunct/>
        <w:topLinePunct w:val="0"/>
        <w:autoSpaceDE/>
        <w:autoSpaceDN/>
        <w:bidi w:val="0"/>
        <w:adjustRightInd/>
        <w:snapToGrid/>
        <w:spacing w:before="0" w:line="320" w:lineRule="exact"/>
        <w:ind w:firstLine="320" w:firstLineChars="100"/>
        <w:textAlignment w:val="auto"/>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四、绩效评价指标分析</w:t>
      </w:r>
      <w:bookmarkEnd w:id="8"/>
      <w:bookmarkEnd w:id="9"/>
    </w:p>
    <w:p w14:paraId="418245B4">
      <w:pPr>
        <w:keepNext w:val="0"/>
        <w:keepLines w:val="0"/>
        <w:pageBreakBefore w:val="0"/>
        <w:widowControl w:val="0"/>
        <w:kinsoku/>
        <w:wordWrap/>
        <w:overflowPunct/>
        <w:topLinePunct w:val="0"/>
        <w:autoSpaceDE/>
        <w:autoSpaceDN/>
        <w:bidi w:val="0"/>
        <w:adjustRightInd/>
        <w:snapToGrid w:val="0"/>
        <w:spacing w:line="3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10" w:name="_Toc17679"/>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项目决策情</w:t>
      </w:r>
      <w:bookmarkEnd w:id="10"/>
      <w:bookmarkStart w:id="11" w:name="_Toc28411"/>
    </w:p>
    <w:p w14:paraId="4849C014">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 1.</w:t>
      </w:r>
      <w:r>
        <w:rPr>
          <w:rFonts w:hint="eastAsia" w:ascii="仿宋_GB2312" w:hAnsi="Times New Roman" w:eastAsia="仿宋_GB2312" w:cs="Times New Roman"/>
          <w:kern w:val="2"/>
          <w:sz w:val="32"/>
          <w:szCs w:val="32"/>
          <w:lang w:val="en-US" w:eastAsia="zh-CN" w:bidi="ar-SA"/>
        </w:rPr>
        <w:t>项目决策依据充分性。项目决策符合国家相关法律法规、国民经济发展规划和相关政策；符合行业发展规划和政策要求；与部门职责范围相符，属于部门履职所需。</w:t>
      </w:r>
    </w:p>
    <w:p w14:paraId="60D83584">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default" w:ascii="仿宋_GB2312" w:hAnsi="Calibri" w:eastAsia="仿宋_GB2312" w:cs="仿宋_GB2312"/>
          <w:i w:val="0"/>
          <w:iCs w:val="0"/>
          <w:caps w:val="0"/>
          <w:color w:val="000000"/>
          <w:spacing w:val="-2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20"/>
          <w:kern w:val="0"/>
          <w:sz w:val="32"/>
          <w:szCs w:val="32"/>
          <w:shd w:val="clear" w:color="auto" w:fill="FFFFFF"/>
          <w:lang w:val="en-US" w:eastAsia="zh-CN" w:bidi="ar"/>
        </w:rPr>
        <w:t>2.</w:t>
      </w:r>
      <w:r>
        <w:rPr>
          <w:rFonts w:hint="eastAsia" w:ascii="仿宋" w:hAnsi="仿宋" w:eastAsia="仿宋" w:cs="仿宋"/>
          <w:kern w:val="2"/>
          <w:sz w:val="32"/>
          <w:szCs w:val="32"/>
          <w:lang w:val="en-US" w:eastAsia="zh-CN" w:bidi="ar-SA"/>
        </w:rPr>
        <w:t>项目决策程序规范性。预算支出按照规定的程序申请</w:t>
      </w:r>
      <w:r>
        <w:rPr>
          <w:rFonts w:hint="eastAsia" w:ascii="仿宋" w:hAnsi="仿宋" w:eastAsia="仿宋" w:cs="仿宋"/>
          <w:spacing w:val="-20"/>
          <w:kern w:val="2"/>
          <w:sz w:val="32"/>
          <w:szCs w:val="32"/>
          <w:lang w:val="en-US" w:eastAsia="zh-CN" w:bidi="ar-SA"/>
        </w:rPr>
        <w:t>设立；审批文件、材料符合相关要求；事前经过集体决策程序。</w:t>
      </w:r>
    </w:p>
    <w:p w14:paraId="7D04F457">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项目过程情况</w:t>
      </w:r>
      <w:bookmarkEnd w:id="11"/>
    </w:p>
    <w:p w14:paraId="3420352B">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2" w:name="_Toc10140"/>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1.资金管理</w:t>
      </w:r>
      <w:bookmarkEnd w:id="12"/>
    </w:p>
    <w:p w14:paraId="356AF577">
      <w:pPr>
        <w:pStyle w:val="2"/>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由单位财务按照年初预算批复，根据工作需要支出需求向财政申请经费，合理安排和使用资金。</w:t>
      </w:r>
    </w:p>
    <w:p w14:paraId="2A916E11">
      <w:pPr>
        <w:keepNext w:val="0"/>
        <w:keepLines w:val="0"/>
        <w:pageBreakBefore w:val="0"/>
        <w:widowControl w:val="0"/>
        <w:numPr>
          <w:ilvl w:val="0"/>
          <w:numId w:val="2"/>
        </w:numPr>
        <w:kinsoku/>
        <w:wordWrap/>
        <w:overflowPunct/>
        <w:topLinePunct w:val="0"/>
        <w:autoSpaceDE/>
        <w:autoSpaceDN/>
        <w:bidi w:val="0"/>
        <w:adjustRightInd/>
        <w:snapToGrid w:val="0"/>
        <w:spacing w:line="500" w:lineRule="exact"/>
        <w:ind w:left="0" w:leftChars="0" w:firstLine="640" w:firstLineChars="200"/>
        <w:textAlignment w:val="auto"/>
        <w:outlineLvl w:val="2"/>
        <w:rPr>
          <w:rFonts w:hint="default" w:ascii="仿宋_GB2312" w:hAnsi="Times New Roman" w:eastAsia="仿宋_GB2312" w:cs="Times New Roman"/>
          <w:sz w:val="32"/>
          <w:szCs w:val="32"/>
          <w:lang w:val="en-US" w:eastAsia="zh-CN"/>
        </w:rPr>
      </w:pPr>
      <w:bookmarkStart w:id="13" w:name="_Toc1210"/>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项目实施</w:t>
      </w:r>
      <w:bookmarkEnd w:id="13"/>
    </w:p>
    <w:p w14:paraId="2F220CC7">
      <w:pPr>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firstLine="420" w:firstLineChars="200"/>
        <w:textAlignment w:val="auto"/>
        <w:outlineLvl w:val="2"/>
        <w:rPr>
          <w:rFonts w:hint="default" w:ascii="仿宋_GB2312" w:hAnsi="Times New Roman" w:eastAsia="仿宋_GB2312" w:cs="Times New Roman"/>
          <w:sz w:val="32"/>
          <w:szCs w:val="32"/>
          <w:lang w:val="en-US" w:eastAsia="zh-CN"/>
        </w:rPr>
      </w:pPr>
      <w:r>
        <w:rPr>
          <w:rFonts w:hint="eastAsia"/>
          <w:lang w:val="en-US" w:eastAsia="zh-CN"/>
        </w:rPr>
        <w:t xml:space="preserve"> </w:t>
      </w:r>
      <w:r>
        <w:rPr>
          <w:rFonts w:hint="eastAsia" w:ascii="仿宋_GB2312" w:hAnsi="Times New Roman" w:eastAsia="仿宋_GB2312" w:cs="Times New Roman"/>
          <w:sz w:val="32"/>
          <w:szCs w:val="32"/>
          <w:lang w:val="en-US" w:eastAsia="zh-CN"/>
        </w:rPr>
        <w:t xml:space="preserve"> 资金使用过程清晰明了，做到分工明确、权责分明、相互制约，严格按照规定使用，严格控制支出，提高资金使用效益。</w:t>
      </w:r>
    </w:p>
    <w:p w14:paraId="026DE7E8">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14" w:name="_Toc6604"/>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项目产出情况</w:t>
      </w:r>
      <w:bookmarkEnd w:id="14"/>
    </w:p>
    <w:p w14:paraId="03FEA5BD">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5" w:name="_Toc20742"/>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1.产出数量</w:t>
      </w:r>
      <w:bookmarkEnd w:id="15"/>
    </w:p>
    <w:p w14:paraId="7EF250BF">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工作经费发放率</w:t>
      </w:r>
      <w:bookmarkStart w:id="16" w:name="OLE_LINK2"/>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100%。</w:t>
      </w:r>
      <w:bookmarkEnd w:id="16"/>
    </w:p>
    <w:p w14:paraId="116CD467">
      <w:pPr>
        <w:pStyle w:val="5"/>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520" w:lineRule="exact"/>
        <w:ind w:leftChars="200" w:firstLine="320" w:firstLineChars="1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7" w:name="_Toc5372"/>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2、产出质量</w:t>
      </w:r>
      <w:bookmarkEnd w:id="17"/>
    </w:p>
    <w:p w14:paraId="6472171A">
      <w:pPr>
        <w:pStyle w:val="5"/>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520" w:lineRule="exact"/>
        <w:ind w:leftChars="200"/>
        <w:textAlignment w:val="auto"/>
        <w:outlineLvl w:val="2"/>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 xml:space="preserve"> 项目绩效目标达成率100%。</w:t>
      </w:r>
    </w:p>
    <w:p w14:paraId="2FDCDA67">
      <w:pPr>
        <w:pStyle w:val="5"/>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520" w:lineRule="exact"/>
        <w:ind w:leftChars="200" w:firstLine="320" w:firstLineChars="1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8" w:name="_Toc25948"/>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3、产出成本</w:t>
      </w:r>
      <w:bookmarkEnd w:id="18"/>
    </w:p>
    <w:p w14:paraId="0AA30082">
      <w:pPr>
        <w:pStyle w:val="5"/>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520" w:lineRule="exact"/>
        <w:ind w:leftChars="200"/>
        <w:textAlignment w:val="auto"/>
        <w:outlineLvl w:val="2"/>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资金按预算成本完成，无资金浪费，无超支预算。</w:t>
      </w:r>
    </w:p>
    <w:p w14:paraId="0D870E39">
      <w:pPr>
        <w:pStyle w:val="5"/>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520" w:lineRule="exact"/>
        <w:ind w:leftChars="200" w:firstLine="320" w:firstLineChars="1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9" w:name="_Toc21477"/>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4、产出时效</w:t>
      </w:r>
      <w:bookmarkEnd w:id="19"/>
    </w:p>
    <w:p w14:paraId="5575D932">
      <w:pPr>
        <w:pStyle w:val="5"/>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520" w:lineRule="exact"/>
        <w:ind w:leftChars="200"/>
        <w:textAlignment w:val="auto"/>
        <w:outlineLvl w:val="2"/>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 xml:space="preserve"> 2023年12月之前各项资金按时发放到位。 </w:t>
      </w:r>
    </w:p>
    <w:p w14:paraId="19815C62">
      <w:pPr>
        <w:pStyle w:val="5"/>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520" w:lineRule="exact"/>
        <w:ind w:left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0" w:name="_Toc12690"/>
      <w:bookmarkStart w:id="21" w:name="_Toc3072"/>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（四）项目效益情况</w:t>
      </w:r>
      <w:bookmarkEnd w:id="20"/>
      <w:bookmarkEnd w:id="21"/>
    </w:p>
    <w:p w14:paraId="4AC03274">
      <w:pPr>
        <w:keepNext w:val="0"/>
        <w:keepLines w:val="0"/>
        <w:pageBreakBefore w:val="0"/>
        <w:widowControl w:val="0"/>
        <w:kinsoku/>
        <w:wordWrap/>
        <w:overflowPunct/>
        <w:topLinePunct w:val="0"/>
        <w:autoSpaceDE/>
        <w:autoSpaceDN/>
        <w:bidi w:val="0"/>
        <w:adjustRightInd/>
        <w:snapToGrid w:val="0"/>
        <w:spacing w:line="520" w:lineRule="exact"/>
        <w:ind w:left="0" w:leftChars="0" w:firstLine="960" w:firstLineChars="3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1、社会效益</w:t>
      </w:r>
    </w:p>
    <w:p w14:paraId="663EA904">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有效的促进了工作开展。</w:t>
      </w:r>
    </w:p>
    <w:p w14:paraId="5F35BDC0">
      <w:pPr>
        <w:keepNext w:val="0"/>
        <w:keepLines w:val="0"/>
        <w:pageBreakBefore w:val="0"/>
        <w:widowControl w:val="0"/>
        <w:kinsoku/>
        <w:wordWrap/>
        <w:overflowPunct/>
        <w:topLinePunct w:val="0"/>
        <w:autoSpaceDE/>
        <w:autoSpaceDN/>
        <w:bidi w:val="0"/>
        <w:adjustRightInd/>
        <w:snapToGrid w:val="0"/>
        <w:spacing w:line="520" w:lineRule="exact"/>
        <w:ind w:left="0" w:leftChars="0" w:firstLine="960" w:firstLineChars="3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2、经济效益</w:t>
      </w:r>
    </w:p>
    <w:p w14:paraId="2AF32DDC">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 xml:space="preserve"> 有效的保障资金使用效率。</w:t>
      </w:r>
    </w:p>
    <w:p w14:paraId="18587B1B">
      <w:pPr>
        <w:keepNext w:val="0"/>
        <w:keepLines w:val="0"/>
        <w:pageBreakBefore w:val="0"/>
        <w:widowControl w:val="0"/>
        <w:kinsoku/>
        <w:wordWrap/>
        <w:overflowPunct/>
        <w:topLinePunct w:val="0"/>
        <w:autoSpaceDE/>
        <w:autoSpaceDN/>
        <w:bidi w:val="0"/>
        <w:adjustRightInd/>
        <w:snapToGrid w:val="0"/>
        <w:spacing w:line="520" w:lineRule="exact"/>
        <w:ind w:left="0" w:leftChars="0" w:firstLine="960" w:firstLineChars="3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3、可持续影响</w:t>
      </w:r>
    </w:p>
    <w:p w14:paraId="72BA8515">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 xml:space="preserve"> </w:t>
      </w:r>
      <w:bookmarkStart w:id="22" w:name="OLE_LINK6"/>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促进社会的和谐稳定。</w:t>
      </w:r>
    </w:p>
    <w:bookmarkEnd w:id="22"/>
    <w:p w14:paraId="26A10A12">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bookmarkStart w:id="23" w:name="_Toc390096931"/>
      <w:bookmarkStart w:id="24" w:name="_Toc390267055"/>
      <w:bookmarkStart w:id="25" w:name="_Toc24241"/>
      <w:bookmarkStart w:id="26" w:name="_Toc12414"/>
      <w:r>
        <w:rPr>
          <w:rFonts w:hint="eastAsia" w:ascii="黑体" w:hAnsi="黑体" w:eastAsia="黑体" w:cs="黑体"/>
          <w:i w:val="0"/>
          <w:iCs w:val="0"/>
          <w:caps w:val="0"/>
          <w:color w:val="000000"/>
          <w:spacing w:val="0"/>
          <w:kern w:val="0"/>
          <w:sz w:val="32"/>
          <w:szCs w:val="32"/>
          <w:shd w:val="clear" w:color="auto" w:fill="FFFFFF"/>
          <w:lang w:val="en-US" w:eastAsia="zh-CN" w:bidi="ar"/>
        </w:rPr>
        <w:t>五、项目主要经验、存在的问题</w:t>
      </w:r>
      <w:bookmarkEnd w:id="23"/>
      <w:bookmarkEnd w:id="24"/>
      <w:r>
        <w:rPr>
          <w:rFonts w:hint="eastAsia" w:ascii="黑体" w:hAnsi="黑体" w:eastAsia="黑体" w:cs="黑体"/>
          <w:i w:val="0"/>
          <w:iCs w:val="0"/>
          <w:caps w:val="0"/>
          <w:color w:val="000000"/>
          <w:spacing w:val="0"/>
          <w:kern w:val="0"/>
          <w:sz w:val="32"/>
          <w:szCs w:val="32"/>
          <w:shd w:val="clear" w:color="auto" w:fill="FFFFFF"/>
          <w:lang w:val="en-US" w:eastAsia="zh-CN" w:bidi="ar"/>
        </w:rPr>
        <w:t>及建议</w:t>
      </w:r>
      <w:bookmarkEnd w:id="25"/>
      <w:bookmarkEnd w:id="26"/>
    </w:p>
    <w:p w14:paraId="549DE170">
      <w:pPr>
        <w:keepNext w:val="0"/>
        <w:keepLines w:val="0"/>
        <w:pageBreakBefore w:val="0"/>
        <w:widowControl w:val="0"/>
        <w:kinsoku/>
        <w:wordWrap/>
        <w:overflowPunct/>
        <w:topLinePunct w:val="0"/>
        <w:autoSpaceDE/>
        <w:autoSpaceDN/>
        <w:bidi w:val="0"/>
        <w:adjustRightInd/>
        <w:snapToGrid w:val="0"/>
        <w:spacing w:line="520" w:lineRule="exact"/>
        <w:ind w:firstLine="548"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7" w:name="_Toc23434"/>
      <w:bookmarkStart w:id="28" w:name="_Toc5316"/>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项目主要经验</w:t>
      </w:r>
      <w:bookmarkEnd w:id="27"/>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及做法</w:t>
      </w:r>
      <w:bookmarkEnd w:id="28"/>
    </w:p>
    <w:p w14:paraId="6F682EED">
      <w:pPr>
        <w:pStyle w:val="2"/>
        <w:keepNext w:val="0"/>
        <w:keepLines w:val="0"/>
        <w:pageBreakBefore w:val="0"/>
        <w:kinsoku/>
        <w:wordWrap/>
        <w:overflowPunct/>
        <w:topLinePunct w:val="0"/>
        <w:autoSpaceDE/>
        <w:autoSpaceDN/>
        <w:bidi w:val="0"/>
        <w:adjustRightInd/>
        <w:spacing w:line="520" w:lineRule="exact"/>
        <w:textAlignment w:val="auto"/>
        <w:rPr>
          <w:rFonts w:hint="default"/>
          <w:lang w:val="en-US" w:eastAsia="zh-CN"/>
        </w:rPr>
      </w:pP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 xml:space="preserve">  </w:t>
      </w: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 xml:space="preserve">  目实施单位的实施人员应加强政策和业务知识的学习培训，规范使用，提高专项资金使用效率和效益。项目实施单位应根据实际需求，针对每一个项目制定工作目标，科学编制和细化预算，做到预算有目标，执行有细则，控制专项支出，分析资金结余或超支的原因，提高资金的使用效益。</w:t>
      </w:r>
    </w:p>
    <w:p w14:paraId="62CE8627">
      <w:pPr>
        <w:keepNext w:val="0"/>
        <w:keepLines w:val="0"/>
        <w:pageBreakBefore w:val="0"/>
        <w:widowControl w:val="0"/>
        <w:numPr>
          <w:ilvl w:val="0"/>
          <w:numId w:val="5"/>
        </w:numPr>
        <w:kinsoku/>
        <w:wordWrap/>
        <w:overflowPunct/>
        <w:topLinePunct w:val="0"/>
        <w:autoSpaceDE/>
        <w:autoSpaceDN/>
        <w:bidi w:val="0"/>
        <w:adjustRightInd/>
        <w:snapToGrid w:val="0"/>
        <w:spacing w:line="520" w:lineRule="exact"/>
        <w:ind w:left="0" w:leftChars="0" w:firstLine="640"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9" w:name="_Toc2597"/>
      <w:bookmarkStart w:id="30" w:name="_Toc6772"/>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存在的问题</w:t>
      </w:r>
      <w:bookmarkEnd w:id="29"/>
      <w:bookmarkEnd w:id="30"/>
    </w:p>
    <w:p w14:paraId="2E9CA8BF">
      <w:pPr>
        <w:pStyle w:val="2"/>
        <w:keepNext w:val="0"/>
        <w:keepLines w:val="0"/>
        <w:pageBreakBefore w:val="0"/>
        <w:numPr>
          <w:ilvl w:val="0"/>
          <w:numId w:val="0"/>
        </w:numPr>
        <w:kinsoku/>
        <w:wordWrap/>
        <w:overflowPunct/>
        <w:topLinePunct w:val="0"/>
        <w:autoSpaceDE/>
        <w:autoSpaceDN/>
        <w:bidi w:val="0"/>
        <w:adjustRightInd/>
        <w:spacing w:line="520" w:lineRule="exact"/>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lang w:val="en-US" w:eastAsia="zh-CN"/>
        </w:rPr>
        <w:t xml:space="preserve">    </w:t>
      </w: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 xml:space="preserve"> 绩效考评办法不够完善，不够具体，可操作性不强，需进一步加强。内控管理制度不够完善，不够系统，需进一步完善和加强。</w:t>
      </w:r>
    </w:p>
    <w:p w14:paraId="58AD40AA">
      <w:pPr>
        <w:keepNext w:val="0"/>
        <w:keepLines w:val="0"/>
        <w:pageBreakBefore w:val="0"/>
        <w:widowControl w:val="0"/>
        <w:numPr>
          <w:ilvl w:val="0"/>
          <w:numId w:val="5"/>
        </w:numPr>
        <w:kinsoku/>
        <w:wordWrap/>
        <w:overflowPunct/>
        <w:topLinePunct w:val="0"/>
        <w:autoSpaceDE/>
        <w:autoSpaceDN/>
        <w:bidi w:val="0"/>
        <w:adjustRightInd/>
        <w:snapToGrid w:val="0"/>
        <w:spacing w:line="520" w:lineRule="exact"/>
        <w:ind w:left="0" w:leftChars="0" w:firstLine="640"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31" w:name="_Toc16271"/>
      <w:bookmarkStart w:id="32" w:name="_Toc29278"/>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有关建议</w:t>
      </w:r>
      <w:bookmarkEnd w:id="31"/>
      <w:bookmarkEnd w:id="32"/>
    </w:p>
    <w:p w14:paraId="5BA3AE56">
      <w:pPr>
        <w:pStyle w:val="4"/>
        <w:keepNext w:val="0"/>
        <w:keepLines w:val="0"/>
        <w:pageBreakBefore w:val="0"/>
        <w:widowControl/>
        <w:shd w:val="clear" w:color="auto" w:fill="FFFFFF"/>
        <w:kinsoku/>
        <w:wordWrap/>
        <w:overflowPunct/>
        <w:topLinePunct w:val="0"/>
        <w:autoSpaceDE/>
        <w:autoSpaceDN/>
        <w:bidi w:val="0"/>
        <w:adjustRightInd/>
        <w:spacing w:before="0" w:beforeAutospacing="0" w:after="165" w:afterAutospacing="0" w:line="520" w:lineRule="exact"/>
        <w:ind w:firstLine="645"/>
        <w:textAlignment w:val="auto"/>
        <w:rPr>
          <w:rFonts w:hint="eastAsia" w:ascii="仿宋_GB2312" w:eastAsia="仿宋_GB2312"/>
          <w:kern w:val="2"/>
          <w:sz w:val="32"/>
          <w:szCs w:val="32"/>
        </w:rPr>
      </w:pPr>
      <w:r>
        <w:rPr>
          <w:rFonts w:hint="eastAsia" w:ascii="仿宋_GB2312" w:eastAsia="仿宋_GB2312"/>
          <w:kern w:val="2"/>
          <w:sz w:val="32"/>
          <w:szCs w:val="32"/>
        </w:rPr>
        <w:t>建立激励与约束机制，强化评价结果在项目申报和预算编制中的有效应用。对绩效评价结果较好的，予以表扬、优先支持或继续支持。对绩效评价发现问题、达不到绩效目标或评价结果较差的，予以通报批评，根据情况调整项目或相应调减项目预算，直至取消该项支出。</w:t>
      </w:r>
    </w:p>
    <w:p w14:paraId="602BD0D8">
      <w:pPr>
        <w:pStyle w:val="2"/>
        <w:numPr>
          <w:ilvl w:val="0"/>
          <w:numId w:val="0"/>
        </w:numPr>
        <w:ind w:leftChars="200"/>
        <w:rPr>
          <w:rFonts w:hint="eastAsia"/>
        </w:rPr>
      </w:pPr>
    </w:p>
    <w:p w14:paraId="118FF25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right="0" w:firstLine="640" w:firstLineChars="200"/>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附件：</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项目支出绩效自评表</w:t>
      </w:r>
    </w:p>
    <w:p w14:paraId="4ABD958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right="0"/>
        <w:rPr>
          <w:rFonts w:hint="eastAsia" w:ascii="仿宋_GB2312" w:eastAsia="仿宋_GB2312" w:cs="仿宋_GB2312"/>
          <w:i w:val="0"/>
          <w:iCs w:val="0"/>
          <w:caps w:val="0"/>
          <w:color w:val="000000"/>
          <w:spacing w:val="0"/>
          <w:sz w:val="24"/>
          <w:szCs w:val="24"/>
          <w:shd w:val="clear" w:color="auto" w:fill="FFFFFF"/>
          <w:lang w:val="en-US" w:eastAsia="zh-CN"/>
        </w:rPr>
      </w:pPr>
    </w:p>
    <w:p w14:paraId="7611F2D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1CF3541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305FF3F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5790F12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1F952C9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27BABED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060D087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17C6A53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0AE7089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186DC0A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568B3EB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3F2DA3E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73BAACE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00A8119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1AB6435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3F7FC0F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7CBC257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4047735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2536682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50F93D4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7CFFA42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548C0A9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5A3682D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44A7C8B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default" w:ascii="仿宋_GB2312" w:hAnsi="仿宋_GB2312" w:eastAsia="仿宋_GB2312" w:cs="仿宋_GB2312"/>
          <w:i w:val="0"/>
          <w:iCs w:val="0"/>
          <w:caps w:val="0"/>
          <w:color w:val="000000"/>
          <w:spacing w:val="0"/>
          <w:sz w:val="32"/>
          <w:szCs w:val="32"/>
          <w:shd w:val="clear" w:color="auto" w:fill="FFFFFF"/>
          <w:lang w:val="en-US" w:eastAsia="zh-CN"/>
        </w:rPr>
      </w:pPr>
      <w:r>
        <w:rPr>
          <w:rFonts w:hint="eastAsia" w:ascii="仿宋_GB2312" w:hAnsi="仿宋_GB2312" w:eastAsia="仿宋_GB2312" w:cs="仿宋_GB2312"/>
          <w:i w:val="0"/>
          <w:iCs w:val="0"/>
          <w:caps w:val="0"/>
          <w:color w:val="000000"/>
          <w:spacing w:val="0"/>
          <w:sz w:val="32"/>
          <w:szCs w:val="32"/>
          <w:shd w:val="clear" w:color="auto" w:fill="FFFFFF"/>
          <w:lang w:val="en-US" w:eastAsia="zh-CN"/>
        </w:rPr>
        <w:t>附件2-1</w:t>
      </w:r>
    </w:p>
    <w:p w14:paraId="1BE4E0BB">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val="0"/>
        <w:spacing w:line="440" w:lineRule="atLeast"/>
        <w:ind w:left="0"/>
        <w:jc w:val="center"/>
        <w:textAlignment w:val="auto"/>
        <w:rPr>
          <w:rFonts w:hint="eastAsia" w:ascii="方正小标宋_GBK" w:hAnsi="方正小标宋_GBK" w:eastAsia="方正小标宋_GBK" w:cs="方正小标宋_GBK"/>
          <w:i w:val="0"/>
          <w:iCs w:val="0"/>
          <w:caps w:val="0"/>
          <w:color w:val="000000"/>
          <w:spacing w:val="0"/>
          <w:kern w:val="0"/>
          <w:sz w:val="28"/>
          <w:szCs w:val="28"/>
          <w:shd w:val="clear" w:color="auto" w:fill="FFFFFF"/>
          <w:lang w:val="en-US" w:eastAsia="zh-CN" w:bidi="ar"/>
        </w:rPr>
      </w:pPr>
      <w:r>
        <w:rPr>
          <w:rFonts w:hint="eastAsia" w:ascii="方正小标宋_GBK" w:hAnsi="方正小标宋_GBK" w:eastAsia="方正小标宋_GBK" w:cs="方正小标宋_GBK"/>
          <w:i w:val="0"/>
          <w:iCs w:val="0"/>
          <w:caps w:val="0"/>
          <w:color w:val="000000"/>
          <w:spacing w:val="0"/>
          <w:kern w:val="0"/>
          <w:sz w:val="28"/>
          <w:szCs w:val="28"/>
          <w:shd w:val="clear" w:color="auto" w:fill="FFFFFF"/>
          <w:lang w:val="en-US" w:eastAsia="zh-CN" w:bidi="ar"/>
        </w:rPr>
        <w:t>项目支出绩效自评表</w:t>
      </w:r>
    </w:p>
    <w:tbl>
      <w:tblPr>
        <w:tblStyle w:val="6"/>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080"/>
        <w:gridCol w:w="1080"/>
        <w:gridCol w:w="1149"/>
        <w:gridCol w:w="1209"/>
        <w:gridCol w:w="1134"/>
        <w:gridCol w:w="828"/>
        <w:gridCol w:w="873"/>
        <w:gridCol w:w="1418"/>
      </w:tblGrid>
      <w:tr w14:paraId="26D71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080" w:type="dxa"/>
            <w:noWrap w:val="0"/>
            <w:vAlign w:val="center"/>
          </w:tcPr>
          <w:p w14:paraId="4DFB77F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项目支</w:t>
            </w:r>
          </w:p>
          <w:p w14:paraId="47D8BDD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出名称</w:t>
            </w:r>
          </w:p>
        </w:tc>
        <w:tc>
          <w:tcPr>
            <w:tcW w:w="8771" w:type="dxa"/>
            <w:gridSpan w:val="8"/>
            <w:noWrap w:val="0"/>
            <w:vAlign w:val="center"/>
          </w:tcPr>
          <w:p w14:paraId="47A10BF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华侨、侨眷属走访慰问经费</w:t>
            </w:r>
          </w:p>
        </w:tc>
      </w:tr>
      <w:tr w14:paraId="11CD2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80" w:type="dxa"/>
            <w:noWrap w:val="0"/>
            <w:vAlign w:val="center"/>
          </w:tcPr>
          <w:p w14:paraId="6DC09FF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主管部门</w:t>
            </w:r>
          </w:p>
        </w:tc>
        <w:tc>
          <w:tcPr>
            <w:tcW w:w="4518" w:type="dxa"/>
            <w:gridSpan w:val="4"/>
            <w:noWrap w:val="0"/>
            <w:vAlign w:val="center"/>
          </w:tcPr>
          <w:p w14:paraId="0E2210A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7C3F353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实施单位</w:t>
            </w:r>
          </w:p>
        </w:tc>
        <w:tc>
          <w:tcPr>
            <w:tcW w:w="3119" w:type="dxa"/>
            <w:gridSpan w:val="3"/>
            <w:noWrap w:val="0"/>
            <w:vAlign w:val="center"/>
          </w:tcPr>
          <w:p w14:paraId="3339536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中国共产党会同县委员会统战部</w:t>
            </w:r>
          </w:p>
        </w:tc>
      </w:tr>
      <w:tr w14:paraId="32304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14:paraId="7C4D551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项目资金</w:t>
            </w:r>
            <w:r>
              <w:rPr>
                <w:rFonts w:hint="eastAsia" w:ascii="仿宋" w:hAnsi="仿宋" w:eastAsia="仿宋" w:cs="仿宋"/>
                <w:color w:val="000000"/>
                <w:kern w:val="0"/>
                <w:sz w:val="20"/>
                <w:szCs w:val="20"/>
              </w:rPr>
              <w:br w:type="textWrapping"/>
            </w:r>
            <w:r>
              <w:rPr>
                <w:rFonts w:hint="eastAsia" w:ascii="仿宋" w:hAnsi="仿宋" w:eastAsia="仿宋" w:cs="仿宋"/>
                <w:color w:val="000000"/>
                <w:kern w:val="0"/>
                <w:sz w:val="20"/>
                <w:szCs w:val="20"/>
              </w:rPr>
              <w:t>（万元）</w:t>
            </w:r>
          </w:p>
        </w:tc>
        <w:tc>
          <w:tcPr>
            <w:tcW w:w="2160" w:type="dxa"/>
            <w:gridSpan w:val="2"/>
            <w:noWrap w:val="0"/>
            <w:vAlign w:val="center"/>
          </w:tcPr>
          <w:p w14:paraId="0674A27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49" w:type="dxa"/>
            <w:noWrap w:val="0"/>
            <w:vAlign w:val="center"/>
          </w:tcPr>
          <w:p w14:paraId="0046BD0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年初</w:t>
            </w:r>
          </w:p>
          <w:p w14:paraId="31F01F2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预算数</w:t>
            </w:r>
          </w:p>
        </w:tc>
        <w:tc>
          <w:tcPr>
            <w:tcW w:w="1209" w:type="dxa"/>
            <w:noWrap w:val="0"/>
            <w:vAlign w:val="center"/>
          </w:tcPr>
          <w:p w14:paraId="319261B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全年</w:t>
            </w:r>
          </w:p>
          <w:p w14:paraId="1339697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预算数</w:t>
            </w:r>
          </w:p>
        </w:tc>
        <w:tc>
          <w:tcPr>
            <w:tcW w:w="1134" w:type="dxa"/>
            <w:noWrap w:val="0"/>
            <w:vAlign w:val="center"/>
          </w:tcPr>
          <w:p w14:paraId="2C28BD0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全年</w:t>
            </w:r>
          </w:p>
          <w:p w14:paraId="1C2C22D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执行数</w:t>
            </w:r>
          </w:p>
        </w:tc>
        <w:tc>
          <w:tcPr>
            <w:tcW w:w="828" w:type="dxa"/>
            <w:noWrap w:val="0"/>
            <w:vAlign w:val="center"/>
          </w:tcPr>
          <w:p w14:paraId="695C967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分值</w:t>
            </w:r>
          </w:p>
        </w:tc>
        <w:tc>
          <w:tcPr>
            <w:tcW w:w="873" w:type="dxa"/>
            <w:noWrap w:val="0"/>
            <w:vAlign w:val="center"/>
          </w:tcPr>
          <w:p w14:paraId="579D44D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执行率</w:t>
            </w:r>
          </w:p>
        </w:tc>
        <w:tc>
          <w:tcPr>
            <w:tcW w:w="1418" w:type="dxa"/>
            <w:noWrap w:val="0"/>
            <w:vAlign w:val="center"/>
          </w:tcPr>
          <w:p w14:paraId="599E713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得分</w:t>
            </w:r>
          </w:p>
        </w:tc>
      </w:tr>
      <w:tr w14:paraId="26C95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8F2FF1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160" w:type="dxa"/>
            <w:gridSpan w:val="2"/>
            <w:noWrap w:val="0"/>
            <w:vAlign w:val="center"/>
          </w:tcPr>
          <w:p w14:paraId="7816530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年度资金总额　</w:t>
            </w:r>
          </w:p>
        </w:tc>
        <w:tc>
          <w:tcPr>
            <w:tcW w:w="1149" w:type="dxa"/>
            <w:noWrap w:val="0"/>
            <w:vAlign w:val="center"/>
          </w:tcPr>
          <w:p w14:paraId="68D26EC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1.3</w:t>
            </w:r>
          </w:p>
        </w:tc>
        <w:tc>
          <w:tcPr>
            <w:tcW w:w="1209" w:type="dxa"/>
            <w:noWrap w:val="0"/>
            <w:vAlign w:val="center"/>
          </w:tcPr>
          <w:p w14:paraId="755B4E6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1.3</w:t>
            </w:r>
          </w:p>
        </w:tc>
        <w:tc>
          <w:tcPr>
            <w:tcW w:w="1134" w:type="dxa"/>
            <w:noWrap w:val="0"/>
            <w:vAlign w:val="center"/>
          </w:tcPr>
          <w:p w14:paraId="163354B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1.3</w:t>
            </w:r>
          </w:p>
        </w:tc>
        <w:tc>
          <w:tcPr>
            <w:tcW w:w="828" w:type="dxa"/>
            <w:noWrap w:val="0"/>
            <w:vAlign w:val="center"/>
          </w:tcPr>
          <w:p w14:paraId="546AD3E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10</w:t>
            </w:r>
          </w:p>
        </w:tc>
        <w:tc>
          <w:tcPr>
            <w:tcW w:w="873" w:type="dxa"/>
            <w:noWrap w:val="0"/>
            <w:vAlign w:val="center"/>
          </w:tcPr>
          <w:p w14:paraId="30F4203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c>
          <w:tcPr>
            <w:tcW w:w="1418" w:type="dxa"/>
            <w:noWrap w:val="0"/>
            <w:vAlign w:val="center"/>
          </w:tcPr>
          <w:p w14:paraId="1B39510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r>
      <w:tr w14:paraId="6F9B7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CADB49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160" w:type="dxa"/>
            <w:gridSpan w:val="2"/>
            <w:noWrap w:val="0"/>
            <w:vAlign w:val="center"/>
          </w:tcPr>
          <w:p w14:paraId="4E68E1D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其中：当年财政拨款　</w:t>
            </w:r>
          </w:p>
        </w:tc>
        <w:tc>
          <w:tcPr>
            <w:tcW w:w="1149" w:type="dxa"/>
            <w:noWrap w:val="0"/>
            <w:vAlign w:val="center"/>
          </w:tcPr>
          <w:p w14:paraId="7237DEF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1.3</w:t>
            </w:r>
          </w:p>
        </w:tc>
        <w:tc>
          <w:tcPr>
            <w:tcW w:w="1209" w:type="dxa"/>
            <w:noWrap w:val="0"/>
            <w:vAlign w:val="center"/>
          </w:tcPr>
          <w:p w14:paraId="6EB99B4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1.3</w:t>
            </w:r>
          </w:p>
        </w:tc>
        <w:tc>
          <w:tcPr>
            <w:tcW w:w="1134" w:type="dxa"/>
            <w:noWrap w:val="0"/>
            <w:vAlign w:val="center"/>
          </w:tcPr>
          <w:p w14:paraId="5FC3872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1.3</w:t>
            </w:r>
          </w:p>
        </w:tc>
        <w:tc>
          <w:tcPr>
            <w:tcW w:w="828" w:type="dxa"/>
            <w:noWrap w:val="0"/>
            <w:vAlign w:val="center"/>
          </w:tcPr>
          <w:p w14:paraId="5666BA6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7B9F245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43CECF6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2F40B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A209E0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160" w:type="dxa"/>
            <w:gridSpan w:val="2"/>
            <w:noWrap w:val="0"/>
            <w:vAlign w:val="center"/>
          </w:tcPr>
          <w:p w14:paraId="79B3B60F">
            <w:pPr>
              <w:keepNext w:val="0"/>
              <w:keepLines w:val="0"/>
              <w:pageBreakBefore w:val="0"/>
              <w:widowControl/>
              <w:kinsoku/>
              <w:wordWrap/>
              <w:overflowPunct/>
              <w:topLinePunct w:val="0"/>
              <w:autoSpaceDE/>
              <w:autoSpaceDN/>
              <w:bidi w:val="0"/>
              <w:adjustRightInd/>
              <w:snapToGrid/>
              <w:spacing w:line="280" w:lineRule="exact"/>
              <w:ind w:firstLine="600" w:firstLineChars="300"/>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上年结转资金　</w:t>
            </w:r>
          </w:p>
        </w:tc>
        <w:tc>
          <w:tcPr>
            <w:tcW w:w="1149" w:type="dxa"/>
            <w:noWrap w:val="0"/>
            <w:vAlign w:val="center"/>
          </w:tcPr>
          <w:p w14:paraId="72D248C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209" w:type="dxa"/>
            <w:noWrap w:val="0"/>
            <w:vAlign w:val="center"/>
          </w:tcPr>
          <w:p w14:paraId="1918A0D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5E0D7C1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28" w:type="dxa"/>
            <w:noWrap w:val="0"/>
            <w:vAlign w:val="center"/>
          </w:tcPr>
          <w:p w14:paraId="0F77328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251B168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2707A74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78999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080" w:type="dxa"/>
            <w:vMerge w:val="continue"/>
            <w:noWrap w:val="0"/>
            <w:vAlign w:val="center"/>
          </w:tcPr>
          <w:p w14:paraId="0D04A02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160" w:type="dxa"/>
            <w:gridSpan w:val="2"/>
            <w:noWrap w:val="0"/>
            <w:vAlign w:val="center"/>
          </w:tcPr>
          <w:p w14:paraId="08EB3817">
            <w:pPr>
              <w:keepNext w:val="0"/>
              <w:keepLines w:val="0"/>
              <w:pageBreakBefore w:val="0"/>
              <w:widowControl/>
              <w:kinsoku/>
              <w:wordWrap/>
              <w:overflowPunct/>
              <w:topLinePunct w:val="0"/>
              <w:autoSpaceDE/>
              <w:autoSpaceDN/>
              <w:bidi w:val="0"/>
              <w:adjustRightInd/>
              <w:snapToGrid/>
              <w:spacing w:line="280" w:lineRule="exact"/>
              <w:ind w:firstLine="600" w:firstLineChars="300"/>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其他资金</w:t>
            </w:r>
          </w:p>
        </w:tc>
        <w:tc>
          <w:tcPr>
            <w:tcW w:w="1149" w:type="dxa"/>
            <w:noWrap w:val="0"/>
            <w:vAlign w:val="center"/>
          </w:tcPr>
          <w:p w14:paraId="05FB23B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209" w:type="dxa"/>
            <w:noWrap w:val="0"/>
            <w:vAlign w:val="center"/>
          </w:tcPr>
          <w:p w14:paraId="7A6D565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5D9BCE1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28" w:type="dxa"/>
            <w:noWrap w:val="0"/>
            <w:vAlign w:val="center"/>
          </w:tcPr>
          <w:p w14:paraId="6ED8465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0E37441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4072BE4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4C2AD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080" w:type="dxa"/>
            <w:vMerge w:val="restart"/>
            <w:noWrap w:val="0"/>
            <w:vAlign w:val="center"/>
          </w:tcPr>
          <w:p w14:paraId="6DA6F8B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年度总体目标</w:t>
            </w:r>
          </w:p>
        </w:tc>
        <w:tc>
          <w:tcPr>
            <w:tcW w:w="4518" w:type="dxa"/>
            <w:gridSpan w:val="4"/>
            <w:noWrap w:val="0"/>
            <w:vAlign w:val="center"/>
          </w:tcPr>
          <w:p w14:paraId="4789E3F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预期目标</w:t>
            </w:r>
          </w:p>
        </w:tc>
        <w:tc>
          <w:tcPr>
            <w:tcW w:w="4253" w:type="dxa"/>
            <w:gridSpan w:val="4"/>
            <w:noWrap w:val="0"/>
            <w:vAlign w:val="center"/>
          </w:tcPr>
          <w:p w14:paraId="7E68942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实际完成情况　</w:t>
            </w:r>
          </w:p>
        </w:tc>
      </w:tr>
      <w:tr w14:paraId="2922E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1080" w:type="dxa"/>
            <w:vMerge w:val="continue"/>
            <w:noWrap w:val="0"/>
            <w:vAlign w:val="center"/>
          </w:tcPr>
          <w:p w14:paraId="44E2F43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4518" w:type="dxa"/>
            <w:gridSpan w:val="4"/>
            <w:noWrap w:val="0"/>
            <w:vAlign w:val="center"/>
          </w:tcPr>
          <w:p w14:paraId="62A4DF29">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240" w:lineRule="auto"/>
              <w:ind w:right="0" w:rightChars="0" w:firstLine="400" w:firstLineChars="200"/>
              <w:jc w:val="both"/>
              <w:textAlignment w:val="auto"/>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认真做好全县“三胞”及其眷属、海外留学人员的工作，深化为侨服务凝聚人心。</w:t>
            </w:r>
          </w:p>
          <w:p w14:paraId="6BA567E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4253" w:type="dxa"/>
            <w:gridSpan w:val="4"/>
            <w:noWrap w:val="0"/>
            <w:vAlign w:val="center"/>
          </w:tcPr>
          <w:p w14:paraId="3F061989">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做好全县“三胞”及其眷属、海外留学人员的工作，深化为侨服务凝聚人心</w:t>
            </w:r>
          </w:p>
        </w:tc>
      </w:tr>
      <w:tr w14:paraId="2E86D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14:paraId="15D82B6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绩</w:t>
            </w:r>
          </w:p>
          <w:p w14:paraId="6AAA90B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w:t>
            </w:r>
          </w:p>
          <w:p w14:paraId="1E6D585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w:t>
            </w:r>
          </w:p>
          <w:p w14:paraId="7348FCF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标</w:t>
            </w:r>
          </w:p>
        </w:tc>
        <w:tc>
          <w:tcPr>
            <w:tcW w:w="1080" w:type="dxa"/>
            <w:noWrap w:val="0"/>
            <w:vAlign w:val="center"/>
          </w:tcPr>
          <w:p w14:paraId="2042ACE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一级指标</w:t>
            </w:r>
          </w:p>
        </w:tc>
        <w:tc>
          <w:tcPr>
            <w:tcW w:w="1080" w:type="dxa"/>
            <w:noWrap w:val="0"/>
            <w:vAlign w:val="center"/>
          </w:tcPr>
          <w:p w14:paraId="3D705B2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二级指标</w:t>
            </w:r>
          </w:p>
        </w:tc>
        <w:tc>
          <w:tcPr>
            <w:tcW w:w="1149" w:type="dxa"/>
            <w:noWrap w:val="0"/>
            <w:vAlign w:val="center"/>
          </w:tcPr>
          <w:p w14:paraId="161AD65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三级指标</w:t>
            </w:r>
          </w:p>
        </w:tc>
        <w:tc>
          <w:tcPr>
            <w:tcW w:w="1209" w:type="dxa"/>
            <w:noWrap w:val="0"/>
            <w:vAlign w:val="center"/>
          </w:tcPr>
          <w:p w14:paraId="05BCBB3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w:t>
            </w:r>
          </w:p>
          <w:p w14:paraId="01A3DC1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指标值</w:t>
            </w:r>
          </w:p>
        </w:tc>
        <w:tc>
          <w:tcPr>
            <w:tcW w:w="1134" w:type="dxa"/>
            <w:noWrap w:val="0"/>
            <w:vAlign w:val="center"/>
          </w:tcPr>
          <w:p w14:paraId="2EEF8D7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w:t>
            </w:r>
          </w:p>
          <w:p w14:paraId="099709A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完成值</w:t>
            </w:r>
          </w:p>
        </w:tc>
        <w:tc>
          <w:tcPr>
            <w:tcW w:w="828" w:type="dxa"/>
            <w:noWrap w:val="0"/>
            <w:vAlign w:val="center"/>
          </w:tcPr>
          <w:p w14:paraId="3016CAB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分值</w:t>
            </w:r>
          </w:p>
        </w:tc>
        <w:tc>
          <w:tcPr>
            <w:tcW w:w="873" w:type="dxa"/>
            <w:noWrap w:val="0"/>
            <w:vAlign w:val="center"/>
          </w:tcPr>
          <w:p w14:paraId="7693481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得分</w:t>
            </w:r>
          </w:p>
        </w:tc>
        <w:tc>
          <w:tcPr>
            <w:tcW w:w="1418" w:type="dxa"/>
            <w:noWrap w:val="0"/>
            <w:vAlign w:val="center"/>
          </w:tcPr>
          <w:p w14:paraId="56FF20F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偏差原因</w:t>
            </w:r>
          </w:p>
          <w:p w14:paraId="2BA6DC5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分析及</w:t>
            </w:r>
          </w:p>
          <w:p w14:paraId="74C962D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改进措施</w:t>
            </w:r>
          </w:p>
        </w:tc>
      </w:tr>
      <w:tr w14:paraId="0EDBC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102654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restart"/>
            <w:noWrap w:val="0"/>
            <w:vAlign w:val="center"/>
          </w:tcPr>
          <w:p w14:paraId="36BAB49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产出指标</w:t>
            </w:r>
          </w:p>
          <w:p w14:paraId="71C3082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eastAsia="zh-CN"/>
              </w:rPr>
              <w:t>（</w:t>
            </w:r>
            <w:r>
              <w:rPr>
                <w:rFonts w:hint="eastAsia" w:ascii="仿宋" w:hAnsi="仿宋" w:eastAsia="仿宋" w:cs="仿宋"/>
                <w:color w:val="000000"/>
                <w:kern w:val="0"/>
                <w:sz w:val="20"/>
                <w:szCs w:val="20"/>
              </w:rPr>
              <w:t>50分</w:t>
            </w:r>
            <w:r>
              <w:rPr>
                <w:rFonts w:hint="eastAsia" w:ascii="仿宋" w:hAnsi="仿宋" w:eastAsia="仿宋" w:cs="仿宋"/>
                <w:color w:val="000000"/>
                <w:kern w:val="0"/>
                <w:sz w:val="20"/>
                <w:szCs w:val="20"/>
                <w:lang w:eastAsia="zh-CN"/>
              </w:rPr>
              <w:t>）</w:t>
            </w:r>
          </w:p>
        </w:tc>
        <w:tc>
          <w:tcPr>
            <w:tcW w:w="1080" w:type="dxa"/>
            <w:noWrap w:val="0"/>
            <w:vAlign w:val="center"/>
          </w:tcPr>
          <w:p w14:paraId="68D2EFC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数量指标</w:t>
            </w:r>
          </w:p>
        </w:tc>
        <w:tc>
          <w:tcPr>
            <w:tcW w:w="1149" w:type="dxa"/>
            <w:noWrap w:val="0"/>
            <w:vAlign w:val="center"/>
          </w:tcPr>
          <w:p w14:paraId="33437DA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工作经费发放率</w:t>
            </w:r>
          </w:p>
        </w:tc>
        <w:tc>
          <w:tcPr>
            <w:tcW w:w="1209" w:type="dxa"/>
            <w:noWrap w:val="0"/>
            <w:vAlign w:val="center"/>
          </w:tcPr>
          <w:p w14:paraId="26D0C7E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bookmarkStart w:id="33" w:name="OLE_LINK4"/>
            <w:r>
              <w:rPr>
                <w:rFonts w:hint="eastAsia" w:ascii="仿宋" w:hAnsi="仿宋" w:eastAsia="仿宋" w:cs="仿宋"/>
                <w:color w:val="000000"/>
                <w:kern w:val="0"/>
                <w:sz w:val="20"/>
                <w:szCs w:val="20"/>
              </w:rPr>
              <w:t>100</w:t>
            </w:r>
            <w:r>
              <w:rPr>
                <w:rFonts w:hint="eastAsia" w:ascii="仿宋" w:hAnsi="仿宋" w:eastAsia="仿宋" w:cs="仿宋"/>
                <w:color w:val="000000"/>
                <w:kern w:val="0"/>
                <w:sz w:val="20"/>
                <w:szCs w:val="20"/>
                <w:lang w:val="en-US" w:eastAsia="zh-CN"/>
              </w:rPr>
              <w:t>%</w:t>
            </w:r>
            <w:bookmarkEnd w:id="33"/>
          </w:p>
        </w:tc>
        <w:tc>
          <w:tcPr>
            <w:tcW w:w="1134" w:type="dxa"/>
            <w:noWrap w:val="0"/>
            <w:vAlign w:val="center"/>
          </w:tcPr>
          <w:p w14:paraId="76CD67F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100</w:t>
            </w:r>
            <w:r>
              <w:rPr>
                <w:rFonts w:hint="eastAsia" w:ascii="仿宋" w:hAnsi="仿宋" w:eastAsia="仿宋" w:cs="仿宋"/>
                <w:color w:val="000000"/>
                <w:kern w:val="0"/>
                <w:sz w:val="20"/>
                <w:szCs w:val="20"/>
                <w:lang w:val="en-US" w:eastAsia="zh-CN"/>
              </w:rPr>
              <w:t>%</w:t>
            </w:r>
          </w:p>
        </w:tc>
        <w:tc>
          <w:tcPr>
            <w:tcW w:w="828" w:type="dxa"/>
            <w:noWrap w:val="0"/>
            <w:vAlign w:val="center"/>
          </w:tcPr>
          <w:p w14:paraId="18E29DE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0F94D29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4FA2E72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55DFC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B6D313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04B446F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noWrap w:val="0"/>
            <w:vAlign w:val="center"/>
          </w:tcPr>
          <w:p w14:paraId="634D521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质量指标</w:t>
            </w:r>
          </w:p>
        </w:tc>
        <w:tc>
          <w:tcPr>
            <w:tcW w:w="1149" w:type="dxa"/>
            <w:noWrap w:val="0"/>
            <w:vAlign w:val="center"/>
          </w:tcPr>
          <w:p w14:paraId="5822140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项目绩效目标达成率</w:t>
            </w:r>
          </w:p>
        </w:tc>
        <w:tc>
          <w:tcPr>
            <w:tcW w:w="1209" w:type="dxa"/>
            <w:noWrap w:val="0"/>
            <w:vAlign w:val="center"/>
          </w:tcPr>
          <w:p w14:paraId="189C873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100</w:t>
            </w:r>
            <w:r>
              <w:rPr>
                <w:rFonts w:hint="eastAsia" w:ascii="仿宋" w:hAnsi="仿宋" w:eastAsia="仿宋" w:cs="仿宋"/>
                <w:color w:val="000000"/>
                <w:kern w:val="0"/>
                <w:sz w:val="20"/>
                <w:szCs w:val="20"/>
                <w:lang w:val="en-US" w:eastAsia="zh-CN"/>
              </w:rPr>
              <w:t>%</w:t>
            </w:r>
          </w:p>
        </w:tc>
        <w:tc>
          <w:tcPr>
            <w:tcW w:w="1134" w:type="dxa"/>
            <w:noWrap w:val="0"/>
            <w:vAlign w:val="center"/>
          </w:tcPr>
          <w:p w14:paraId="2A2F6E7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100</w:t>
            </w:r>
            <w:r>
              <w:rPr>
                <w:rFonts w:hint="eastAsia" w:ascii="仿宋" w:hAnsi="仿宋" w:eastAsia="仿宋" w:cs="仿宋"/>
                <w:color w:val="000000"/>
                <w:kern w:val="0"/>
                <w:sz w:val="20"/>
                <w:szCs w:val="20"/>
                <w:lang w:val="en-US" w:eastAsia="zh-CN"/>
              </w:rPr>
              <w:t>%</w:t>
            </w:r>
          </w:p>
        </w:tc>
        <w:tc>
          <w:tcPr>
            <w:tcW w:w="828" w:type="dxa"/>
            <w:noWrap w:val="0"/>
            <w:vAlign w:val="center"/>
          </w:tcPr>
          <w:p w14:paraId="1CB557B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3D66CE8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2AE5AF3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6CE30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259488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5740B71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noWrap w:val="0"/>
            <w:vAlign w:val="center"/>
          </w:tcPr>
          <w:p w14:paraId="66AEF29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时效指标</w:t>
            </w:r>
          </w:p>
        </w:tc>
        <w:tc>
          <w:tcPr>
            <w:tcW w:w="1149" w:type="dxa"/>
            <w:noWrap w:val="0"/>
            <w:vAlign w:val="center"/>
          </w:tcPr>
          <w:p w14:paraId="7E4E3FA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完成及时性</w:t>
            </w:r>
          </w:p>
        </w:tc>
        <w:tc>
          <w:tcPr>
            <w:tcW w:w="1209" w:type="dxa"/>
            <w:noWrap w:val="0"/>
            <w:vAlign w:val="center"/>
          </w:tcPr>
          <w:p w14:paraId="197DEFB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2023年12月之前完成</w:t>
            </w:r>
          </w:p>
        </w:tc>
        <w:tc>
          <w:tcPr>
            <w:tcW w:w="1134" w:type="dxa"/>
            <w:noWrap w:val="0"/>
            <w:vAlign w:val="center"/>
          </w:tcPr>
          <w:p w14:paraId="6314AF6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完成</w:t>
            </w:r>
          </w:p>
        </w:tc>
        <w:tc>
          <w:tcPr>
            <w:tcW w:w="828" w:type="dxa"/>
            <w:noWrap w:val="0"/>
            <w:vAlign w:val="center"/>
          </w:tcPr>
          <w:p w14:paraId="596831E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15</w:t>
            </w:r>
          </w:p>
        </w:tc>
        <w:tc>
          <w:tcPr>
            <w:tcW w:w="873" w:type="dxa"/>
            <w:noWrap w:val="0"/>
            <w:vAlign w:val="center"/>
          </w:tcPr>
          <w:p w14:paraId="3DF3946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15</w:t>
            </w:r>
          </w:p>
        </w:tc>
        <w:tc>
          <w:tcPr>
            <w:tcW w:w="1418" w:type="dxa"/>
            <w:noWrap w:val="0"/>
            <w:vAlign w:val="center"/>
          </w:tcPr>
          <w:p w14:paraId="680FD9C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75A44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1A45FE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2DD8374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noWrap w:val="0"/>
            <w:vAlign w:val="center"/>
          </w:tcPr>
          <w:p w14:paraId="5FB55BB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成本指标</w:t>
            </w:r>
          </w:p>
        </w:tc>
        <w:tc>
          <w:tcPr>
            <w:tcW w:w="1149" w:type="dxa"/>
            <w:noWrap w:val="0"/>
            <w:vAlign w:val="center"/>
          </w:tcPr>
          <w:p w14:paraId="5F7F137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华侨、侨眷属走访慰问经费</w:t>
            </w:r>
          </w:p>
        </w:tc>
        <w:tc>
          <w:tcPr>
            <w:tcW w:w="1209" w:type="dxa"/>
            <w:noWrap w:val="0"/>
            <w:vAlign w:val="center"/>
          </w:tcPr>
          <w:p w14:paraId="76D3165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1.3</w:t>
            </w:r>
            <w:r>
              <w:rPr>
                <w:rFonts w:hint="eastAsia" w:ascii="仿宋" w:hAnsi="仿宋" w:eastAsia="仿宋" w:cs="仿宋"/>
                <w:color w:val="000000"/>
                <w:kern w:val="0"/>
                <w:sz w:val="20"/>
                <w:szCs w:val="20"/>
                <w:lang w:eastAsia="zh-CN"/>
              </w:rPr>
              <w:t>万元</w:t>
            </w:r>
          </w:p>
        </w:tc>
        <w:tc>
          <w:tcPr>
            <w:tcW w:w="1134" w:type="dxa"/>
            <w:noWrap w:val="0"/>
            <w:vAlign w:val="center"/>
          </w:tcPr>
          <w:p w14:paraId="5C14167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无超支</w:t>
            </w:r>
          </w:p>
          <w:p w14:paraId="1426A09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问题</w:t>
            </w:r>
          </w:p>
        </w:tc>
        <w:tc>
          <w:tcPr>
            <w:tcW w:w="828" w:type="dxa"/>
            <w:noWrap w:val="0"/>
            <w:vAlign w:val="center"/>
          </w:tcPr>
          <w:p w14:paraId="560D559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15</w:t>
            </w:r>
          </w:p>
        </w:tc>
        <w:tc>
          <w:tcPr>
            <w:tcW w:w="873" w:type="dxa"/>
            <w:noWrap w:val="0"/>
            <w:vAlign w:val="center"/>
          </w:tcPr>
          <w:p w14:paraId="51DC451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15</w:t>
            </w:r>
          </w:p>
        </w:tc>
        <w:tc>
          <w:tcPr>
            <w:tcW w:w="1418" w:type="dxa"/>
            <w:noWrap w:val="0"/>
            <w:vAlign w:val="center"/>
          </w:tcPr>
          <w:p w14:paraId="23A8753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28500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04F974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bookmarkStart w:id="34" w:name="OLE_LINK5" w:colFirst="4" w:colLast="5"/>
          </w:p>
        </w:tc>
        <w:tc>
          <w:tcPr>
            <w:tcW w:w="1080" w:type="dxa"/>
            <w:vMerge w:val="restart"/>
            <w:noWrap w:val="0"/>
            <w:vAlign w:val="center"/>
          </w:tcPr>
          <w:p w14:paraId="1F3E564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效益指标</w:t>
            </w:r>
          </w:p>
          <w:p w14:paraId="253B4A5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（30分）</w:t>
            </w:r>
          </w:p>
        </w:tc>
        <w:tc>
          <w:tcPr>
            <w:tcW w:w="1080" w:type="dxa"/>
            <w:noWrap w:val="0"/>
            <w:vAlign w:val="center"/>
          </w:tcPr>
          <w:p w14:paraId="43FFC8B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经济效</w:t>
            </w:r>
          </w:p>
          <w:p w14:paraId="081DAC3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149" w:type="dxa"/>
            <w:noWrap w:val="0"/>
            <w:vAlign w:val="center"/>
          </w:tcPr>
          <w:p w14:paraId="3671FF9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经济效益情况</w:t>
            </w:r>
          </w:p>
        </w:tc>
        <w:tc>
          <w:tcPr>
            <w:tcW w:w="1209" w:type="dxa"/>
            <w:noWrap w:val="0"/>
            <w:vAlign w:val="center"/>
          </w:tcPr>
          <w:p w14:paraId="10C36F1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1134" w:type="dxa"/>
            <w:noWrap w:val="0"/>
            <w:vAlign w:val="center"/>
          </w:tcPr>
          <w:p w14:paraId="1866C7A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828" w:type="dxa"/>
            <w:noWrap w:val="0"/>
            <w:vAlign w:val="center"/>
          </w:tcPr>
          <w:p w14:paraId="15E0B85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3B936B6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w:t>
            </w:r>
          </w:p>
        </w:tc>
        <w:tc>
          <w:tcPr>
            <w:tcW w:w="1418" w:type="dxa"/>
            <w:noWrap w:val="0"/>
            <w:vAlign w:val="center"/>
          </w:tcPr>
          <w:p w14:paraId="613BAAA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bookmarkEnd w:id="34"/>
      <w:tr w14:paraId="69FBD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C0E04E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4E6706C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noWrap w:val="0"/>
            <w:vAlign w:val="center"/>
          </w:tcPr>
          <w:p w14:paraId="2601011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社会效</w:t>
            </w:r>
          </w:p>
          <w:p w14:paraId="67B4B7D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149" w:type="dxa"/>
            <w:noWrap w:val="0"/>
            <w:vAlign w:val="center"/>
          </w:tcPr>
          <w:p w14:paraId="7B32BA9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促进工作开展</w:t>
            </w:r>
          </w:p>
        </w:tc>
        <w:tc>
          <w:tcPr>
            <w:tcW w:w="1209" w:type="dxa"/>
            <w:shd w:val="clear" w:color="auto" w:fill="auto"/>
            <w:noWrap w:val="0"/>
            <w:vAlign w:val="center"/>
          </w:tcPr>
          <w:p w14:paraId="592789D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效果明显</w:t>
            </w:r>
          </w:p>
        </w:tc>
        <w:tc>
          <w:tcPr>
            <w:tcW w:w="1134" w:type="dxa"/>
            <w:shd w:val="clear" w:color="auto" w:fill="auto"/>
            <w:noWrap w:val="0"/>
            <w:vAlign w:val="center"/>
          </w:tcPr>
          <w:p w14:paraId="217CC92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效果明显</w:t>
            </w:r>
          </w:p>
        </w:tc>
        <w:tc>
          <w:tcPr>
            <w:tcW w:w="828" w:type="dxa"/>
            <w:noWrap w:val="0"/>
            <w:vAlign w:val="center"/>
          </w:tcPr>
          <w:p w14:paraId="0E9F1B6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0550363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1418CE9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2AD7C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4AE2E6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3D1A638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noWrap w:val="0"/>
            <w:vAlign w:val="center"/>
          </w:tcPr>
          <w:p w14:paraId="5D8E737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生态效</w:t>
            </w:r>
          </w:p>
          <w:p w14:paraId="43C875C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149" w:type="dxa"/>
            <w:noWrap w:val="0"/>
            <w:vAlign w:val="center"/>
          </w:tcPr>
          <w:p w14:paraId="68AB587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不适用</w:t>
            </w:r>
          </w:p>
        </w:tc>
        <w:tc>
          <w:tcPr>
            <w:tcW w:w="1209" w:type="dxa"/>
            <w:noWrap w:val="0"/>
            <w:vAlign w:val="center"/>
          </w:tcPr>
          <w:p w14:paraId="418B6FA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729B245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28" w:type="dxa"/>
            <w:noWrap w:val="0"/>
            <w:vAlign w:val="center"/>
          </w:tcPr>
          <w:p w14:paraId="16C63D8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5FC51C2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50DC65B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529D8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5009D4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c>
          <w:tcPr>
            <w:tcW w:w="1080" w:type="dxa"/>
            <w:vMerge w:val="continue"/>
            <w:noWrap w:val="0"/>
            <w:vAlign w:val="center"/>
          </w:tcPr>
          <w:p w14:paraId="7BAE23D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noWrap w:val="0"/>
            <w:vAlign w:val="center"/>
          </w:tcPr>
          <w:p w14:paraId="67759F9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可持续影响指标</w:t>
            </w:r>
          </w:p>
        </w:tc>
        <w:tc>
          <w:tcPr>
            <w:tcW w:w="1149" w:type="dxa"/>
            <w:noWrap w:val="0"/>
            <w:vAlign w:val="center"/>
          </w:tcPr>
          <w:p w14:paraId="026BA80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促进社会的和谐稳定。</w:t>
            </w:r>
          </w:p>
          <w:p w14:paraId="090433A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09" w:type="dxa"/>
            <w:noWrap w:val="0"/>
            <w:vAlign w:val="center"/>
          </w:tcPr>
          <w:p w14:paraId="164D4DC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1134" w:type="dxa"/>
            <w:noWrap w:val="0"/>
            <w:vAlign w:val="center"/>
          </w:tcPr>
          <w:p w14:paraId="57503E8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828" w:type="dxa"/>
            <w:noWrap w:val="0"/>
            <w:vAlign w:val="center"/>
          </w:tcPr>
          <w:p w14:paraId="6C0ED3B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3CE4DBA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w:t>
            </w:r>
          </w:p>
        </w:tc>
        <w:tc>
          <w:tcPr>
            <w:tcW w:w="1418" w:type="dxa"/>
            <w:noWrap w:val="0"/>
            <w:vAlign w:val="center"/>
          </w:tcPr>
          <w:p w14:paraId="2C507D1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6AC37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9A02DC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noWrap w:val="0"/>
            <w:vAlign w:val="center"/>
          </w:tcPr>
          <w:p w14:paraId="646F841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满意度</w:t>
            </w:r>
          </w:p>
          <w:p w14:paraId="4FAE3E0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w:t>
            </w:r>
          </w:p>
          <w:p w14:paraId="6FF0B59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（10分）</w:t>
            </w:r>
          </w:p>
        </w:tc>
        <w:tc>
          <w:tcPr>
            <w:tcW w:w="1080" w:type="dxa"/>
            <w:noWrap w:val="0"/>
            <w:vAlign w:val="center"/>
          </w:tcPr>
          <w:p w14:paraId="7E9E7A1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服务对象满意度指标</w:t>
            </w:r>
          </w:p>
        </w:tc>
        <w:tc>
          <w:tcPr>
            <w:tcW w:w="1149" w:type="dxa"/>
            <w:noWrap w:val="0"/>
            <w:vAlign w:val="center"/>
          </w:tcPr>
          <w:p w14:paraId="43BC5A6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使用人员满意度</w:t>
            </w:r>
          </w:p>
        </w:tc>
        <w:tc>
          <w:tcPr>
            <w:tcW w:w="1209" w:type="dxa"/>
            <w:noWrap w:val="0"/>
            <w:vAlign w:val="center"/>
          </w:tcPr>
          <w:p w14:paraId="0C36E88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≧90%</w:t>
            </w:r>
          </w:p>
        </w:tc>
        <w:tc>
          <w:tcPr>
            <w:tcW w:w="1134" w:type="dxa"/>
            <w:shd w:val="clear" w:color="auto" w:fill="auto"/>
            <w:noWrap w:val="0"/>
            <w:vAlign w:val="center"/>
          </w:tcPr>
          <w:p w14:paraId="4E3B4F5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95%</w:t>
            </w:r>
          </w:p>
        </w:tc>
        <w:tc>
          <w:tcPr>
            <w:tcW w:w="828" w:type="dxa"/>
            <w:shd w:val="clear" w:color="auto" w:fill="auto"/>
            <w:noWrap w:val="0"/>
            <w:vAlign w:val="center"/>
          </w:tcPr>
          <w:p w14:paraId="19C965A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10</w:t>
            </w:r>
          </w:p>
        </w:tc>
        <w:tc>
          <w:tcPr>
            <w:tcW w:w="873" w:type="dxa"/>
            <w:shd w:val="clear" w:color="auto" w:fill="auto"/>
            <w:noWrap w:val="0"/>
            <w:vAlign w:val="center"/>
          </w:tcPr>
          <w:p w14:paraId="6D6536E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10</w:t>
            </w:r>
          </w:p>
        </w:tc>
        <w:tc>
          <w:tcPr>
            <w:tcW w:w="1418" w:type="dxa"/>
            <w:noWrap w:val="0"/>
            <w:vAlign w:val="center"/>
          </w:tcPr>
          <w:p w14:paraId="0B30FD9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4F957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32" w:type="dxa"/>
            <w:gridSpan w:val="6"/>
            <w:noWrap w:val="0"/>
            <w:vAlign w:val="center"/>
          </w:tcPr>
          <w:p w14:paraId="4950C61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总分</w:t>
            </w:r>
          </w:p>
        </w:tc>
        <w:tc>
          <w:tcPr>
            <w:tcW w:w="828" w:type="dxa"/>
            <w:noWrap w:val="0"/>
            <w:vAlign w:val="center"/>
          </w:tcPr>
          <w:p w14:paraId="3EEE8FD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873" w:type="dxa"/>
            <w:noWrap w:val="0"/>
            <w:vAlign w:val="center"/>
          </w:tcPr>
          <w:p w14:paraId="2E745AD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98</w:t>
            </w:r>
          </w:p>
        </w:tc>
        <w:tc>
          <w:tcPr>
            <w:tcW w:w="1418" w:type="dxa"/>
            <w:noWrap w:val="0"/>
            <w:vAlign w:val="center"/>
          </w:tcPr>
          <w:p w14:paraId="6BF8B4D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bl>
    <w:p w14:paraId="122F7526">
      <w:pPr>
        <w:widowControl w:val="0"/>
        <w:kinsoku/>
        <w:autoSpaceDE/>
        <w:autoSpaceDN/>
        <w:adjustRightInd/>
        <w:snapToGrid/>
        <w:spacing w:line="600" w:lineRule="exact"/>
        <w:jc w:val="both"/>
        <w:textAlignment w:val="auto"/>
        <w:rPr>
          <w:rFonts w:hint="default"/>
          <w:lang w:val="en-US" w:eastAsia="zh-CN"/>
        </w:rPr>
      </w:pPr>
      <w:r>
        <w:rPr>
          <w:rFonts w:hint="default" w:ascii="Times New Roman" w:hAnsi="Times New Roman" w:eastAsia="仿宋_GB2312" w:cs="Times New Roman"/>
          <w:snapToGrid/>
          <w:color w:val="000000"/>
          <w:kern w:val="0"/>
          <w:sz w:val="24"/>
          <w:szCs w:val="24"/>
          <w:lang w:val="en-US" w:eastAsia="zh-CN" w:bidi="ar-SA"/>
        </w:rPr>
        <w:t>填表人：</w:t>
      </w:r>
      <w:r>
        <w:rPr>
          <w:rFonts w:hint="eastAsia" w:ascii="Times New Roman" w:hAnsi="Times New Roman" w:eastAsia="仿宋_GB2312" w:cs="Times New Roman"/>
          <w:snapToGrid/>
          <w:color w:val="000000"/>
          <w:kern w:val="0"/>
          <w:sz w:val="24"/>
          <w:szCs w:val="24"/>
          <w:lang w:val="en-US" w:eastAsia="zh-CN" w:bidi="ar-SA"/>
        </w:rPr>
        <w:t xml:space="preserve">                  </w:t>
      </w:r>
      <w:r>
        <w:rPr>
          <w:rFonts w:hint="default" w:ascii="Times New Roman" w:hAnsi="Times New Roman" w:eastAsia="仿宋_GB2312" w:cs="Times New Roman"/>
          <w:snapToGrid/>
          <w:color w:val="000000"/>
          <w:kern w:val="0"/>
          <w:sz w:val="24"/>
          <w:szCs w:val="24"/>
          <w:lang w:val="en-US" w:eastAsia="zh-CN" w:bidi="ar-SA"/>
        </w:rPr>
        <w:t xml:space="preserve">  填报日期：</w:t>
      </w:r>
      <w:r>
        <w:rPr>
          <w:rFonts w:hint="eastAsia" w:ascii="Times New Roman" w:hAnsi="Times New Roman" w:eastAsia="仿宋_GB2312" w:cs="Times New Roman"/>
          <w:snapToGrid/>
          <w:color w:val="000000"/>
          <w:kern w:val="0"/>
          <w:sz w:val="24"/>
          <w:szCs w:val="24"/>
          <w:lang w:val="en-US" w:eastAsia="zh-CN" w:bidi="ar-SA"/>
        </w:rPr>
        <w:t xml:space="preserve">                    </w:t>
      </w:r>
      <w:r>
        <w:rPr>
          <w:rFonts w:hint="default" w:ascii="Times New Roman" w:hAnsi="Times New Roman" w:eastAsia="仿宋_GB2312" w:cs="Times New Roman"/>
          <w:snapToGrid/>
          <w:color w:val="000000"/>
          <w:kern w:val="0"/>
          <w:sz w:val="24"/>
          <w:szCs w:val="24"/>
          <w:lang w:val="en-US" w:eastAsia="zh-CN" w:bidi="ar-SA"/>
        </w:rPr>
        <w:t xml:space="preserve">  联系电话：</w:t>
      </w:r>
      <w:r>
        <w:rPr>
          <w:rFonts w:hint="eastAsia" w:ascii="Times New Roman" w:hAnsi="Times New Roman" w:eastAsia="仿宋_GB2312" w:cs="Times New Roman"/>
          <w:snapToGrid/>
          <w:color w:val="000000"/>
          <w:kern w:val="0"/>
          <w:sz w:val="24"/>
          <w:szCs w:val="24"/>
          <w:lang w:val="en-US" w:eastAsia="zh-CN" w:bidi="ar-SA"/>
        </w:rPr>
        <w:t xml:space="preserve"> </w:t>
      </w:r>
    </w:p>
    <w:p w14:paraId="0718B62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B39459"/>
    <w:multiLevelType w:val="singleLevel"/>
    <w:tmpl w:val="89B39459"/>
    <w:lvl w:ilvl="0" w:tentative="0">
      <w:start w:val="2"/>
      <w:numFmt w:val="chineseCounting"/>
      <w:suff w:val="nothing"/>
      <w:lvlText w:val="（%1）"/>
      <w:lvlJc w:val="left"/>
      <w:pPr>
        <w:ind w:left="-548"/>
      </w:pPr>
      <w:rPr>
        <w:rFonts w:hint="eastAsia"/>
      </w:rPr>
    </w:lvl>
  </w:abstractNum>
  <w:abstractNum w:abstractNumId="1">
    <w:nsid w:val="A409017F"/>
    <w:multiLevelType w:val="singleLevel"/>
    <w:tmpl w:val="A409017F"/>
    <w:lvl w:ilvl="0" w:tentative="0">
      <w:start w:val="2"/>
      <w:numFmt w:val="chineseCounting"/>
      <w:suff w:val="nothing"/>
      <w:lvlText w:val="（%1）"/>
      <w:lvlJc w:val="left"/>
      <w:rPr>
        <w:rFonts w:hint="eastAsia"/>
      </w:rPr>
    </w:lvl>
  </w:abstractNum>
  <w:abstractNum w:abstractNumId="2">
    <w:nsid w:val="FAFDE646"/>
    <w:multiLevelType w:val="singleLevel"/>
    <w:tmpl w:val="FAFDE646"/>
    <w:lvl w:ilvl="0" w:tentative="0">
      <w:start w:val="2"/>
      <w:numFmt w:val="decimal"/>
      <w:suff w:val="nothing"/>
      <w:lvlText w:val="（%1）"/>
      <w:lvlJc w:val="left"/>
    </w:lvl>
  </w:abstractNum>
  <w:abstractNum w:abstractNumId="3">
    <w:nsid w:val="1DE26690"/>
    <w:multiLevelType w:val="singleLevel"/>
    <w:tmpl w:val="1DE26690"/>
    <w:lvl w:ilvl="0" w:tentative="0">
      <w:start w:val="2"/>
      <w:numFmt w:val="decimal"/>
      <w:lvlText w:val="%1."/>
      <w:lvlJc w:val="left"/>
      <w:pPr>
        <w:tabs>
          <w:tab w:val="left" w:pos="312"/>
        </w:tabs>
      </w:pPr>
    </w:lvl>
  </w:abstractNum>
  <w:abstractNum w:abstractNumId="4">
    <w:nsid w:val="2F0893EE"/>
    <w:multiLevelType w:val="singleLevel"/>
    <w:tmpl w:val="2F0893EE"/>
    <w:lvl w:ilvl="0" w:tentative="0">
      <w:start w:val="2"/>
      <w:numFmt w:val="chineseCounting"/>
      <w:suff w:val="nothing"/>
      <w:lvlText w:val="（%1）"/>
      <w:lvlJc w:val="left"/>
      <w:rPr>
        <w:rFonts w:hint="eastAsia"/>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1N2JhNWMzMzM5ZmEyZGVhZmU1MjIzMmY5ZDE4NmEifQ=="/>
  </w:docVars>
  <w:rsids>
    <w:rsidRoot w:val="00000000"/>
    <w:rsid w:val="000B69F1"/>
    <w:rsid w:val="066C0ED0"/>
    <w:rsid w:val="0EE41E22"/>
    <w:rsid w:val="1A942223"/>
    <w:rsid w:val="21D30E87"/>
    <w:rsid w:val="246E29A5"/>
    <w:rsid w:val="25582D92"/>
    <w:rsid w:val="275579B7"/>
    <w:rsid w:val="286368DF"/>
    <w:rsid w:val="2F9D7B94"/>
    <w:rsid w:val="3AE90610"/>
    <w:rsid w:val="3D3C0B26"/>
    <w:rsid w:val="3E376501"/>
    <w:rsid w:val="40222FC9"/>
    <w:rsid w:val="48FD7CFE"/>
    <w:rsid w:val="4D3C41D1"/>
    <w:rsid w:val="534327A1"/>
    <w:rsid w:val="53735697"/>
    <w:rsid w:val="57963B9C"/>
    <w:rsid w:val="658F2719"/>
    <w:rsid w:val="6B74168B"/>
    <w:rsid w:val="6C765309"/>
    <w:rsid w:val="6EBF187F"/>
    <w:rsid w:val="754531FD"/>
    <w:rsid w:val="7A5C3F3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oa heading"/>
    <w:basedOn w:val="1"/>
    <w:next w:val="1"/>
    <w:unhideWhenUsed/>
    <w:qFormat/>
    <w:uiPriority w:val="99"/>
    <w:pPr>
      <w:spacing w:before="120" w:after="200" w:line="276" w:lineRule="auto"/>
    </w:pPr>
    <w:rPr>
      <w:rFonts w:hint="eastAsia" w:ascii="Arial" w:hAnsi="Arial"/>
      <w:sz w:val="24"/>
    </w:rPr>
  </w:style>
  <w:style w:type="paragraph" w:styleId="3">
    <w:name w:val="Body Text Indent"/>
    <w:basedOn w:val="1"/>
    <w:unhideWhenUsed/>
    <w:qFormat/>
    <w:uiPriority w:val="0"/>
    <w:pPr>
      <w:spacing w:beforeLines="0" w:afterLines="0"/>
      <w:ind w:firstLine="640" w:firstLineChars="200"/>
    </w:pPr>
    <w:rPr>
      <w:rFonts w:hint="default"/>
      <w:sz w:val="32"/>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5">
    <w:name w:val="Body Text First Indent 2"/>
    <w:basedOn w:val="3"/>
    <w:unhideWhenUsed/>
    <w:qFormat/>
    <w:uiPriority w:val="99"/>
    <w:pPr>
      <w:spacing w:beforeLines="0" w:afterLines="0"/>
      <w:ind w:firstLine="420"/>
    </w:pPr>
    <w:rPr>
      <w:rFonts w:hint="default"/>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2531</Words>
  <Characters>2647</Characters>
  <Lines>0</Lines>
  <Paragraphs>0</Paragraphs>
  <TotalTime>3</TotalTime>
  <ScaleCrop>false</ScaleCrop>
  <LinksUpToDate>false</LinksUpToDate>
  <CharactersWithSpaces>2789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2024-09-30T03:12:16Z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3044276125934283BE916478040BD4B1_12</vt:lpwstr>
  </property>
</Properties>
</file>